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 w:hAnsi="Times New Roman"/>
          <w:b/>
          <w:caps w:val="false"/>
          <w:smallCaps w:val="false"/>
          <w:sz w:val="20"/>
        </w:rPr>
      </w:pPr>
      <w:bookmarkStart w:id="0" w:name="clnn20260504_424b5.htm"/>
      <w:bookmarkStart w:id="1" w:name="ksclnn20260504_424b5"/>
      <w:bookmarkEnd w:id="0"/>
      <w:bookmarkEnd w:id="1"/>
      <w:r>
        <w:rPr>
          <w:rFonts w:ascii="Times New Roman" w:hAnsi="Times New Roman"/>
          <w:b/>
          <w:caps w:val="false"/>
          <w:smallCaps w:val="false"/>
          <w:sz w:val="20"/>
        </w:rPr>
        <w:t>Filed Pursuant to Rule 424(b)(5)</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333-286058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color w:val="FF0000"/>
          <w:sz w:val="20"/>
        </w:rPr>
      </w:pPr>
      <w:r>
        <w:rPr>
          <w:rFonts w:ascii="Times New Roman" w:hAnsi="Times New Roman"/>
          <w:b/>
          <w:caps w:val="false"/>
          <w:smallCaps w:val="false"/>
          <w:color w:val="FF0000"/>
          <w:sz w:val="20"/>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SUBJECT TO COMPLETION, DATED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PRELIMINARY PROSPECTUS SUPPLEMENT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 Prospectus dated April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2"/>
        </w:rPr>
      </w:pPr>
      <w:r>
        <w:rPr>
          <w:rFonts w:ascii="Times New Roman" w:hAnsi="Times New Roman"/>
          <w:b/>
          <w:caps w:val="false"/>
          <w:smallCaps w:val="false"/>
          <w:sz w:val="52"/>
        </w:rPr>
        <w:t>Clene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4"/>
        </w:rPr>
        <w:t>Shares of Common Stock</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are offering               shares of our common stock, par value $0.0001 per share, at an offering price of $               per share, and pursuant to this prospectus supplement, the accompanying base prospectus and an underwriting agreement, dated               , 2026 (the “</w:t>
      </w:r>
      <w:bookmarkStart w:id="2" w:name="led401375F20248281727545432521"/>
      <w:bookmarkEnd w:id="2"/>
      <w:r>
        <w:rPr>
          <w:rFonts w:ascii="Times New Roman" w:hAnsi="Times New Roman"/>
          <w:caps w:val="false"/>
          <w:smallCaps w:val="false"/>
          <w:sz w:val="20"/>
        </w:rPr>
        <w:t>Underwriting Agreement”).</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You should read this prospectus supplement, the accompanying base prospectus, and any additional prospectus supplement or amendment carefully before you invest in our securities.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(“Nasdaq”) under the symbol “CLNN.” On May 1, 2026, the last reported sale price of our common stock on Nasdaq was $6.14.</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pPr>
      <w:r>
        <w:rPr>
          <w:rFonts w:ascii="Times New Roman" w:hAnsi="Times New Roman"/>
          <w:b/>
          <w:caps w:val="false"/>
          <w:smallCaps w:val="false"/>
          <w:sz w:val="20"/>
        </w:rPr>
        <w:t xml:space="preserve">Investing in our securities involves a high degree of risk. See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section beginning on page </w:t>
      </w:r>
      <w:hyperlink w:anchor="S_RISK_FACTORS">
        <w:r>
          <w:rPr>
            <w:rStyle w:val="InternetLink"/>
            <w:rFonts w:ascii="Times New Roman" w:hAnsi="Times New Roman"/>
            <w:b/>
            <w:caps w:val="false"/>
            <w:smallCaps w:val="false"/>
            <w:sz w:val="20"/>
            <w:u w:val="single"/>
          </w:rPr>
          <w:t>S-9</w:t>
        </w:r>
      </w:hyperlink>
      <w:r>
        <w:rPr>
          <w:rFonts w:ascii="Times New Roman" w:hAnsi="Times New Roman"/>
          <w:b/>
          <w:caps w:val="false"/>
          <w:smallCaps w:val="false"/>
          <w:sz w:val="20"/>
        </w:rPr>
        <w:t xml:space="preserve"> and in the documents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that term is defined under the federal securities laws and, as such, we have elected to comply with certain reduced public company reporting requirements and may elect to do so in future filings.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b/>
          <w:caps w:val="false"/>
          <w:smallCaps w:val="false"/>
          <w:sz w:val="20"/>
        </w:rPr>
      </w:pPr>
      <w:r>
        <w:rPr>
          <w:rFonts w:ascii="Times New Roman" w:hAnsi="Times New Roman"/>
          <w:b/>
          <w:caps w:val="false"/>
          <w:smallCaps w:val="false"/>
          <w:sz w:val="20"/>
        </w:rPr>
        <w:t>Neither the SEC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firstLine="420"/>
        <w:jc w:val="both"/>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4190"/>
        <w:gridCol w:w="60"/>
        <w:gridCol w:w="518"/>
        <w:gridCol w:w="222"/>
        <w:gridCol w:w="60"/>
        <w:gridCol w:w="60"/>
        <w:gridCol w:w="287"/>
        <w:gridCol w:w="123"/>
        <w:gridCol w:w="60"/>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283"/>
              <w:jc w:val="center"/>
              <w:rPr>
                <w:b/>
                <w:sz w:val="16"/>
              </w:rPr>
            </w:pPr>
            <w:r>
              <w:rPr>
                <w:b/>
                <w:sz w:val="16"/>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2"/>
            <w:tcBorders>
              <w:bottom w:val="single" w:sz="2" w:space="0" w:color="000000"/>
            </w:tcBorders>
            <w:tcMar>
              <w:bottom w:w="28" w:type="dxa"/>
            </w:tcMar>
            <w:vAlign w:val="center"/>
          </w:tcPr>
          <w:p>
            <w:pPr>
              <w:pStyle w:val="TableContents"/>
              <w:bidi w:val="0"/>
              <w:spacing w:before="0" w:after="283"/>
              <w:jc w:val="center"/>
              <w:rPr>
                <w:b/>
                <w:sz w:val="16"/>
              </w:rPr>
            </w:pPr>
            <w:r>
              <w:rPr>
                <w:b/>
                <w:sz w:val="16"/>
              </w:rPr>
              <w:t>Total</w:t>
            </w:r>
          </w:p>
        </w:tc>
        <w:tc>
          <w:tcPr>
            <w:tcW w:w="60" w:type="dxa"/>
            <w:tcBorders/>
            <w:vAlign w:val="center"/>
          </w:tcPr>
          <w:p>
            <w:pPr>
              <w:pStyle w:val="TableContents"/>
              <w:bidi w:val="0"/>
              <w:spacing w:before="0" w:after="283"/>
              <w:ind w:left="0" w:right="0" w:hanging="180"/>
              <w:jc w:val="left"/>
              <w:rPr/>
            </w:pPr>
            <w:r>
              <w:rPr/>
              <w:t> </w:t>
            </w:r>
          </w:p>
        </w:tc>
      </w:tr>
      <w:tr>
        <w:trPr/>
        <w:tc>
          <w:tcPr>
            <w:tcW w:w="4190"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r>
      <w:tr>
        <w:trPr/>
        <w:tc>
          <w:tcPr>
            <w:tcW w:w="4190" w:type="dxa"/>
            <w:tcBorders/>
            <w:shd w:fill="FFFFFF" w:val="clear"/>
            <w:vAlign w:val="center"/>
          </w:tcPr>
          <w:p>
            <w:pPr>
              <w:pStyle w:val="TableContents"/>
              <w:bidi w:val="0"/>
              <w:spacing w:lineRule="auto" w:line="288" w:before="0" w:after="283"/>
              <w:jc w:val="left"/>
              <w:rPr/>
            </w:pPr>
            <w:r>
              <w:rPr/>
              <w:t>Underwriting discounts and commissions(1)</w:t>
            </w:r>
          </w:p>
        </w:tc>
        <w:tc>
          <w:tcPr>
            <w:tcW w:w="60"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left"/>
              <w:rPr/>
            </w:pPr>
            <w:r>
              <w:rPr/>
              <w:t>$</w:t>
            </w:r>
          </w:p>
        </w:tc>
        <w:tc>
          <w:tcPr>
            <w:tcW w:w="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r>
      <w:tr>
        <w:trPr/>
        <w:tc>
          <w:tcPr>
            <w:tcW w:w="4190" w:type="dxa"/>
            <w:tcBorders/>
            <w:shd w:fill="CCEEFF" w:val="clear"/>
            <w:vAlign w:val="center"/>
          </w:tcPr>
          <w:p>
            <w:pPr>
              <w:pStyle w:val="TableContents"/>
              <w:bidi w:val="0"/>
              <w:spacing w:before="0" w:after="283"/>
              <w:jc w:val="left"/>
              <w:rPr/>
            </w:pPr>
            <w:r>
              <w:rPr/>
              <w:t>Proceeds to Clene Inc., before expenses</w:t>
            </w:r>
          </w:p>
        </w:tc>
        <w:tc>
          <w:tcPr>
            <w:tcW w:w="60"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w:t>
            </w:r>
          </w:p>
        </w:tc>
        <w:tc>
          <w:tcPr>
            <w:tcW w:w="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left"/>
              <w:rPr/>
            </w:pPr>
            <w:r>
              <w:rPr/>
              <w:t>See “</w:t>
            </w:r>
            <w:r>
              <w:rPr>
                <w:i/>
              </w:rPr>
              <w:t>Underwriting</w:t>
            </w:r>
            <w:r>
              <w:rPr/>
              <w:t>” beginning on page </w:t>
            </w:r>
            <w:hyperlink w:anchor="S_UNDERWRITING">
              <w:r>
                <w:rPr>
                  <w:rStyle w:val="InternetLink"/>
                  <w:u w:val="single"/>
                </w:rPr>
                <w:t>S-17</w:t>
              </w:r>
            </w:hyperlink>
            <w:r>
              <w:rPr/>
              <w:t> of this prospectus supplement for additional information regarding total underwriter compensation.</w:t>
            </w:r>
          </w:p>
        </w:tc>
      </w:tr>
    </w:tbl>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Delivery of the shares of common stock is expected to be made on or about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Sole Bookrunning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bookmarkStart w:id="3" w:name="led401375F20248261727314465804"/>
      <w:bookmarkEnd w:id="3"/>
      <w:r>
        <w:rPr>
          <w:rFonts w:ascii="Times New Roman" w:hAnsi="Times New Roman"/>
          <w:b/>
          <w:caps w:val="false"/>
          <w:smallCaps w:val="false"/>
          <w:sz w:val="36"/>
        </w:rPr>
        <w:t>Canaccord Genuity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date of this prospectus supplement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30"/>
        <w:gridCol w:w="47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S_ABOUT_PROSPECTUS">
              <w:r>
                <w:rPr>
                  <w:rStyle w:val="InternetLink"/>
                  <w:rFonts w:ascii="Times New Roman" w:hAnsi="Times New Roman"/>
                  <w:caps w:val="false"/>
                  <w:smallCaps w:val="false"/>
                  <w:sz w:val="20"/>
                  <w:u w:val="single"/>
                </w:rPr>
                <w:t>ABOUT THIS PROSPECTUS SUPPLEMENT</w:t>
              </w:r>
            </w:hyperlink>
          </w:p>
        </w:tc>
        <w:tc>
          <w:tcPr>
            <w:tcW w:w="470" w:type="dxa"/>
            <w:tcBorders/>
            <w:shd w:fill="CCEEFF" w:val="clear"/>
            <w:vAlign w:val="center"/>
          </w:tcPr>
          <w:p>
            <w:pPr>
              <w:pStyle w:val="TableContents"/>
              <w:bidi w:val="0"/>
              <w:spacing w:before="0" w:after="283"/>
              <w:jc w:val="center"/>
              <w:rPr/>
            </w:pPr>
            <w:hyperlink w:anchor="S_ABOUT_PROSPECTUS">
              <w:r>
                <w:rPr>
                  <w:rStyle w:val="InternetLink"/>
                  <w:u w:val="single"/>
                </w:rPr>
                <w:t>S-1</w:t>
              </w:r>
            </w:hyperlink>
          </w:p>
        </w:tc>
      </w:tr>
      <w:tr>
        <w:trPr/>
        <w:tc>
          <w:tcPr>
            <w:tcW w:w="6230" w:type="dxa"/>
            <w:tcBorders/>
            <w:shd w:fill="FFFFFF" w:val="clear"/>
            <w:vAlign w:val="center"/>
          </w:tcPr>
          <w:p>
            <w:pPr>
              <w:pStyle w:val="TableContents"/>
              <w:bidi w:val="0"/>
              <w:spacing w:before="0" w:after="0"/>
              <w:ind w:left="0" w:right="0" w:hanging="0"/>
              <w:jc w:val="left"/>
              <w:rPr/>
            </w:pPr>
            <w:hyperlink w:anchor="S_CAUTIONARY_NOTE">
              <w:r>
                <w:rPr>
                  <w:rStyle w:val="InternetLink"/>
                  <w:rFonts w:ascii="Times New Roman" w:hAnsi="Times New Roman"/>
                  <w:caps w:val="false"/>
                  <w:smallCaps w:val="false"/>
                  <w:sz w:val="20"/>
                  <w:u w:val="single"/>
                </w:rPr>
                <w:t>CAUTIONARY NOTE REGARDING FORWARD-LOOKING STATEMENTS</w:t>
              </w:r>
            </w:hyperlink>
          </w:p>
        </w:tc>
        <w:tc>
          <w:tcPr>
            <w:tcW w:w="470" w:type="dxa"/>
            <w:tcBorders/>
            <w:shd w:fill="FFFFFF" w:val="clear"/>
            <w:vAlign w:val="center"/>
          </w:tcPr>
          <w:p>
            <w:pPr>
              <w:pStyle w:val="TableContents"/>
              <w:bidi w:val="0"/>
              <w:spacing w:before="0" w:after="283"/>
              <w:jc w:val="center"/>
              <w:rPr/>
            </w:pPr>
            <w:hyperlink w:anchor="S_CAUTIONARY_NOTE">
              <w:r>
                <w:rPr>
                  <w:rStyle w:val="InternetLink"/>
                  <w:u w:val="single"/>
                </w:rPr>
                <w:t>S-2</w:t>
              </w:r>
            </w:hyperlink>
          </w:p>
        </w:tc>
      </w:tr>
      <w:tr>
        <w:trPr/>
        <w:tc>
          <w:tcPr>
            <w:tcW w:w="6230" w:type="dxa"/>
            <w:tcBorders/>
            <w:shd w:fill="CCEEFF" w:val="clear"/>
            <w:vAlign w:val="center"/>
          </w:tcPr>
          <w:p>
            <w:pPr>
              <w:pStyle w:val="TableContents"/>
              <w:bidi w:val="0"/>
              <w:spacing w:before="0" w:after="0"/>
              <w:ind w:left="0" w:right="0" w:hanging="0"/>
              <w:jc w:val="left"/>
              <w:rPr/>
            </w:pPr>
            <w:hyperlink w:anchor="S_MARKET_DATA">
              <w:r>
                <w:rPr>
                  <w:rStyle w:val="InternetLink"/>
                  <w:rFonts w:ascii="Times New Roman" w:hAnsi="Times New Roman"/>
                  <w:caps w:val="false"/>
                  <w:smallCaps w:val="false"/>
                  <w:sz w:val="20"/>
                  <w:u w:val="single"/>
                </w:rPr>
                <w:t>MARKET AND INDUSTRY DATA</w:t>
              </w:r>
            </w:hyperlink>
          </w:p>
        </w:tc>
        <w:tc>
          <w:tcPr>
            <w:tcW w:w="470" w:type="dxa"/>
            <w:tcBorders/>
            <w:shd w:fill="CCEEFF" w:val="clear"/>
            <w:vAlign w:val="center"/>
          </w:tcPr>
          <w:p>
            <w:pPr>
              <w:pStyle w:val="TableContents"/>
              <w:bidi w:val="0"/>
              <w:spacing w:before="0" w:after="283"/>
              <w:jc w:val="center"/>
              <w:rPr/>
            </w:pPr>
            <w:hyperlink w:anchor="S_MARKET_DATA">
              <w:r>
                <w:rPr>
                  <w:rStyle w:val="InternetLink"/>
                  <w:u w:val="single"/>
                </w:rPr>
                <w:t>S-4</w:t>
              </w:r>
            </w:hyperlink>
          </w:p>
        </w:tc>
      </w:tr>
      <w:tr>
        <w:trPr/>
        <w:tc>
          <w:tcPr>
            <w:tcW w:w="6230" w:type="dxa"/>
            <w:tcBorders/>
            <w:shd w:fill="FFFFFF" w:val="clear"/>
            <w:vAlign w:val="center"/>
          </w:tcPr>
          <w:p>
            <w:pPr>
              <w:pStyle w:val="TableContents"/>
              <w:bidi w:val="0"/>
              <w:spacing w:before="0" w:after="0"/>
              <w:ind w:left="0" w:right="0" w:hanging="0"/>
              <w:jc w:val="left"/>
              <w:rPr/>
            </w:pPr>
            <w:hyperlink w:anchor="S_SUMMARY">
              <w:r>
                <w:rPr>
                  <w:rStyle w:val="InternetLink"/>
                  <w:rFonts w:ascii="Times New Roman" w:hAnsi="Times New Roman"/>
                  <w:caps w:val="false"/>
                  <w:smallCaps w:val="false"/>
                  <w:sz w:val="20"/>
                  <w:u w:val="single"/>
                </w:rPr>
                <w:t>PROSPECTUS SUPPLEMENT SUMMARY</w:t>
              </w:r>
            </w:hyperlink>
          </w:p>
        </w:tc>
        <w:tc>
          <w:tcPr>
            <w:tcW w:w="470" w:type="dxa"/>
            <w:tcBorders/>
            <w:shd w:fill="FFFFFF" w:val="clear"/>
            <w:vAlign w:val="center"/>
          </w:tcPr>
          <w:p>
            <w:pPr>
              <w:pStyle w:val="TableContents"/>
              <w:bidi w:val="0"/>
              <w:spacing w:before="0" w:after="283"/>
              <w:jc w:val="center"/>
              <w:rPr/>
            </w:pPr>
            <w:hyperlink w:anchor="S_SUMMARY">
              <w:r>
                <w:rPr>
                  <w:rStyle w:val="InternetLink"/>
                  <w:u w:val="single"/>
                </w:rPr>
                <w:t>S-5</w:t>
              </w:r>
            </w:hyperlink>
          </w:p>
        </w:tc>
      </w:tr>
      <w:tr>
        <w:trPr/>
        <w:tc>
          <w:tcPr>
            <w:tcW w:w="6230" w:type="dxa"/>
            <w:tcBorders/>
            <w:shd w:fill="CCEEFF" w:val="clear"/>
            <w:vAlign w:val="center"/>
          </w:tcPr>
          <w:p>
            <w:pPr>
              <w:pStyle w:val="TableContents"/>
              <w:bidi w:val="0"/>
              <w:spacing w:before="0" w:after="0"/>
              <w:ind w:left="0" w:right="0" w:hanging="0"/>
              <w:jc w:val="left"/>
              <w:rPr/>
            </w:pPr>
            <w:hyperlink w:anchor="S_OFFERING">
              <w:r>
                <w:rPr>
                  <w:rStyle w:val="InternetLink"/>
                  <w:rFonts w:ascii="Times New Roman" w:hAnsi="Times New Roman"/>
                  <w:caps w:val="false"/>
                  <w:smallCaps w:val="false"/>
                  <w:sz w:val="20"/>
                  <w:u w:val="single"/>
                </w:rPr>
                <w:t>THE OFFERING</w:t>
              </w:r>
            </w:hyperlink>
          </w:p>
        </w:tc>
        <w:tc>
          <w:tcPr>
            <w:tcW w:w="470" w:type="dxa"/>
            <w:tcBorders/>
            <w:shd w:fill="CCEEFF" w:val="clear"/>
            <w:vAlign w:val="center"/>
          </w:tcPr>
          <w:p>
            <w:pPr>
              <w:pStyle w:val="TableContents"/>
              <w:bidi w:val="0"/>
              <w:spacing w:before="0" w:after="283"/>
              <w:jc w:val="center"/>
              <w:rPr/>
            </w:pPr>
            <w:hyperlink w:anchor="S_OFFERING">
              <w:r>
                <w:rPr>
                  <w:rStyle w:val="InternetLink"/>
                  <w:u w:val="single"/>
                </w:rPr>
                <w:t>S-8</w:t>
              </w:r>
            </w:hyperlink>
          </w:p>
        </w:tc>
      </w:tr>
      <w:tr>
        <w:trPr/>
        <w:tc>
          <w:tcPr>
            <w:tcW w:w="6230" w:type="dxa"/>
            <w:tcBorders/>
            <w:shd w:fill="FFFFFF" w:val="clear"/>
            <w:vAlign w:val="center"/>
          </w:tcPr>
          <w:p>
            <w:pPr>
              <w:pStyle w:val="TableContents"/>
              <w:bidi w:val="0"/>
              <w:spacing w:before="0" w:after="0"/>
              <w:ind w:left="0" w:right="0" w:hanging="0"/>
              <w:jc w:val="left"/>
              <w:rPr/>
            </w:pPr>
            <w:hyperlink w:anchor="S_RISK_FACTORS">
              <w:r>
                <w:rPr>
                  <w:rStyle w:val="InternetLink"/>
                  <w:rFonts w:ascii="Times New Roman" w:hAnsi="Times New Roman"/>
                  <w:caps w:val="false"/>
                  <w:smallCaps w:val="false"/>
                  <w:sz w:val="20"/>
                  <w:u w:val="single"/>
                </w:rPr>
                <w:t>RISK FACTORS</w:t>
              </w:r>
            </w:hyperlink>
          </w:p>
        </w:tc>
        <w:tc>
          <w:tcPr>
            <w:tcW w:w="470" w:type="dxa"/>
            <w:tcBorders/>
            <w:shd w:fill="FFFFFF" w:val="clear"/>
            <w:vAlign w:val="center"/>
          </w:tcPr>
          <w:p>
            <w:pPr>
              <w:pStyle w:val="TableContents"/>
              <w:bidi w:val="0"/>
              <w:spacing w:before="0" w:after="283"/>
              <w:jc w:val="center"/>
              <w:rPr/>
            </w:pPr>
            <w:hyperlink w:anchor="S_RISK_FACTORS">
              <w:r>
                <w:rPr>
                  <w:rStyle w:val="InternetLink"/>
                  <w:u w:val="single"/>
                </w:rPr>
                <w:t>S-9</w:t>
              </w:r>
            </w:hyperlink>
          </w:p>
        </w:tc>
      </w:tr>
      <w:tr>
        <w:trPr/>
        <w:tc>
          <w:tcPr>
            <w:tcW w:w="6230" w:type="dxa"/>
            <w:tcBorders/>
            <w:shd w:fill="CCEEFF" w:val="clear"/>
            <w:vAlign w:val="center"/>
          </w:tcPr>
          <w:p>
            <w:pPr>
              <w:pStyle w:val="TableContents"/>
              <w:bidi w:val="0"/>
              <w:spacing w:before="0" w:after="0"/>
              <w:ind w:left="0" w:right="0" w:hanging="0"/>
              <w:jc w:val="left"/>
              <w:rPr/>
            </w:pPr>
            <w:hyperlink w:anchor="S_PROCEEDS">
              <w:r>
                <w:rPr>
                  <w:rStyle w:val="InternetLink"/>
                  <w:rFonts w:ascii="Times New Roman" w:hAnsi="Times New Roman"/>
                  <w:caps w:val="false"/>
                  <w:smallCaps w:val="false"/>
                  <w:sz w:val="20"/>
                  <w:u w:val="single"/>
                </w:rPr>
                <w:t>USE OF PROCEEDS</w:t>
              </w:r>
            </w:hyperlink>
          </w:p>
        </w:tc>
        <w:tc>
          <w:tcPr>
            <w:tcW w:w="470" w:type="dxa"/>
            <w:tcBorders/>
            <w:shd w:fill="CCEEFF" w:val="clear"/>
            <w:vAlign w:val="center"/>
          </w:tcPr>
          <w:p>
            <w:pPr>
              <w:pStyle w:val="TableContents"/>
              <w:bidi w:val="0"/>
              <w:spacing w:before="0" w:after="283"/>
              <w:jc w:val="center"/>
              <w:rPr/>
            </w:pPr>
            <w:hyperlink w:anchor="S_PROCEEDS">
              <w:r>
                <w:rPr>
                  <w:rStyle w:val="InternetLink"/>
                  <w:u w:val="single"/>
                </w:rPr>
                <w:t>S-14</w:t>
              </w:r>
            </w:hyperlink>
          </w:p>
        </w:tc>
      </w:tr>
      <w:tr>
        <w:trPr/>
        <w:tc>
          <w:tcPr>
            <w:tcW w:w="6230" w:type="dxa"/>
            <w:tcBorders/>
            <w:shd w:fill="FFFFFF" w:val="clear"/>
            <w:vAlign w:val="center"/>
          </w:tcPr>
          <w:p>
            <w:pPr>
              <w:pStyle w:val="TableContents"/>
              <w:bidi w:val="0"/>
              <w:spacing w:before="0" w:after="283"/>
              <w:jc w:val="left"/>
              <w:rPr/>
            </w:pPr>
            <w:hyperlink w:anchor="S_SECURITIES">
              <w:r>
                <w:rPr>
                  <w:rStyle w:val="InternetLink"/>
                  <w:u w:val="single"/>
                </w:rPr>
                <w:t>DESCRIPTION OF SECURITIES</w:t>
              </w:r>
            </w:hyperlink>
          </w:p>
        </w:tc>
        <w:tc>
          <w:tcPr>
            <w:tcW w:w="470" w:type="dxa"/>
            <w:tcBorders/>
            <w:shd w:fill="FFFFFF" w:val="clear"/>
            <w:vAlign w:val="center"/>
          </w:tcPr>
          <w:p>
            <w:pPr>
              <w:pStyle w:val="TableContents"/>
              <w:bidi w:val="0"/>
              <w:spacing w:before="0" w:after="283"/>
              <w:jc w:val="center"/>
              <w:rPr/>
            </w:pPr>
            <w:hyperlink w:anchor="S_SECURITIES">
              <w:r>
                <w:rPr>
                  <w:rStyle w:val="InternetLink"/>
                  <w:u w:val="single"/>
                </w:rPr>
                <w:t>S-15</w:t>
              </w:r>
            </w:hyperlink>
          </w:p>
        </w:tc>
      </w:tr>
      <w:tr>
        <w:trPr/>
        <w:tc>
          <w:tcPr>
            <w:tcW w:w="6230" w:type="dxa"/>
            <w:tcBorders/>
            <w:shd w:fill="CCEEFF" w:val="clear"/>
            <w:vAlign w:val="center"/>
          </w:tcPr>
          <w:p>
            <w:pPr>
              <w:pStyle w:val="TableContents"/>
              <w:bidi w:val="0"/>
              <w:spacing w:before="0" w:after="0"/>
              <w:ind w:left="0" w:right="0" w:hanging="0"/>
              <w:jc w:val="left"/>
              <w:rPr/>
            </w:pPr>
            <w:hyperlink w:anchor="S_DILUTION">
              <w:r>
                <w:rPr>
                  <w:rStyle w:val="InternetLink"/>
                  <w:rFonts w:ascii="Times New Roman" w:hAnsi="Times New Roman"/>
                  <w:caps w:val="false"/>
                  <w:smallCaps w:val="false"/>
                  <w:sz w:val="20"/>
                  <w:u w:val="single"/>
                </w:rPr>
                <w:t>DILUTION</w:t>
              </w:r>
            </w:hyperlink>
          </w:p>
        </w:tc>
        <w:tc>
          <w:tcPr>
            <w:tcW w:w="470" w:type="dxa"/>
            <w:tcBorders/>
            <w:shd w:fill="CCEEFF" w:val="clear"/>
            <w:vAlign w:val="center"/>
          </w:tcPr>
          <w:p>
            <w:pPr>
              <w:pStyle w:val="TableContents"/>
              <w:bidi w:val="0"/>
              <w:spacing w:before="0" w:after="283"/>
              <w:jc w:val="center"/>
              <w:rPr/>
            </w:pPr>
            <w:hyperlink w:anchor="S_DILUTION">
              <w:r>
                <w:rPr>
                  <w:rStyle w:val="InternetLink"/>
                  <w:u w:val="single"/>
                </w:rPr>
                <w:t>S-16</w:t>
              </w:r>
            </w:hyperlink>
          </w:p>
        </w:tc>
      </w:tr>
      <w:tr>
        <w:trPr/>
        <w:tc>
          <w:tcPr>
            <w:tcW w:w="6230" w:type="dxa"/>
            <w:tcBorders/>
            <w:shd w:fill="FFFFFF" w:val="clear"/>
            <w:vAlign w:val="center"/>
          </w:tcPr>
          <w:p>
            <w:pPr>
              <w:pStyle w:val="TableContents"/>
              <w:bidi w:val="0"/>
              <w:spacing w:before="0" w:after="0"/>
              <w:ind w:left="0" w:right="0" w:hanging="0"/>
              <w:jc w:val="left"/>
              <w:rPr/>
            </w:pPr>
            <w:hyperlink w:anchor="S_UNDERWRITING">
              <w:r>
                <w:rPr>
                  <w:rStyle w:val="InternetLink"/>
                  <w:rFonts w:ascii="Times New Roman" w:hAnsi="Times New Roman"/>
                  <w:caps w:val="false"/>
                  <w:smallCaps w:val="false"/>
                  <w:sz w:val="20"/>
                  <w:u w:val="single"/>
                </w:rPr>
                <w:t>UNDERWRITING</w:t>
              </w:r>
            </w:hyperlink>
          </w:p>
        </w:tc>
        <w:tc>
          <w:tcPr>
            <w:tcW w:w="470" w:type="dxa"/>
            <w:tcBorders/>
            <w:shd w:fill="FFFFFF" w:val="clear"/>
            <w:vAlign w:val="center"/>
          </w:tcPr>
          <w:p>
            <w:pPr>
              <w:pStyle w:val="TableContents"/>
              <w:bidi w:val="0"/>
              <w:spacing w:before="0" w:after="283"/>
              <w:jc w:val="center"/>
              <w:rPr/>
            </w:pPr>
            <w:hyperlink w:anchor="S_UNDERWRITING">
              <w:r>
                <w:rPr>
                  <w:rStyle w:val="InternetLink"/>
                  <w:u w:val="single"/>
                </w:rPr>
                <w:t>S-17</w:t>
              </w:r>
            </w:hyperlink>
          </w:p>
        </w:tc>
      </w:tr>
      <w:tr>
        <w:trPr/>
        <w:tc>
          <w:tcPr>
            <w:tcW w:w="6230" w:type="dxa"/>
            <w:tcBorders/>
            <w:shd w:fill="CCEEFF" w:val="clear"/>
            <w:vAlign w:val="center"/>
          </w:tcPr>
          <w:p>
            <w:pPr>
              <w:pStyle w:val="TableContents"/>
              <w:bidi w:val="0"/>
              <w:spacing w:before="0" w:after="0"/>
              <w:ind w:left="0" w:right="0" w:hanging="0"/>
              <w:jc w:val="left"/>
              <w:rPr/>
            </w:pPr>
            <w:hyperlink w:anchor="S_LEGAL">
              <w:r>
                <w:rPr>
                  <w:rStyle w:val="InternetLink"/>
                  <w:rFonts w:ascii="Times New Roman" w:hAnsi="Times New Roman"/>
                  <w:caps w:val="false"/>
                  <w:smallCaps w:val="false"/>
                  <w:sz w:val="20"/>
                  <w:u w:val="single"/>
                </w:rPr>
                <w:t>LEGAL MATTERS</w:t>
              </w:r>
            </w:hyperlink>
          </w:p>
        </w:tc>
        <w:tc>
          <w:tcPr>
            <w:tcW w:w="470" w:type="dxa"/>
            <w:tcBorders/>
            <w:shd w:fill="CCEEFF" w:val="clear"/>
            <w:vAlign w:val="center"/>
          </w:tcPr>
          <w:p>
            <w:pPr>
              <w:pStyle w:val="TableContents"/>
              <w:bidi w:val="0"/>
              <w:spacing w:before="0" w:after="283"/>
              <w:jc w:val="center"/>
              <w:rPr/>
            </w:pPr>
            <w:hyperlink w:anchor="S_LEGAL">
              <w:r>
                <w:rPr>
                  <w:rStyle w:val="InternetLink"/>
                  <w:u w:val="single"/>
                </w:rPr>
                <w:t>S-21</w:t>
              </w:r>
            </w:hyperlink>
          </w:p>
        </w:tc>
      </w:tr>
      <w:tr>
        <w:trPr/>
        <w:tc>
          <w:tcPr>
            <w:tcW w:w="6230" w:type="dxa"/>
            <w:tcBorders/>
            <w:shd w:fill="FFFFFF" w:val="clear"/>
            <w:vAlign w:val="center"/>
          </w:tcPr>
          <w:p>
            <w:pPr>
              <w:pStyle w:val="TableContents"/>
              <w:bidi w:val="0"/>
              <w:spacing w:before="0" w:after="0"/>
              <w:ind w:left="0" w:right="0" w:hanging="0"/>
              <w:jc w:val="left"/>
              <w:rPr/>
            </w:pPr>
            <w:hyperlink w:anchor="S_EXPERTS">
              <w:r>
                <w:rPr>
                  <w:rStyle w:val="InternetLink"/>
                  <w:rFonts w:ascii="Times New Roman" w:hAnsi="Times New Roman"/>
                  <w:caps w:val="false"/>
                  <w:smallCaps w:val="false"/>
                  <w:sz w:val="20"/>
                  <w:u w:val="single"/>
                </w:rPr>
                <w:t>EXPERTS</w:t>
              </w:r>
            </w:hyperlink>
          </w:p>
        </w:tc>
        <w:tc>
          <w:tcPr>
            <w:tcW w:w="470" w:type="dxa"/>
            <w:tcBorders/>
            <w:shd w:fill="FFFFFF" w:val="clear"/>
            <w:vAlign w:val="center"/>
          </w:tcPr>
          <w:p>
            <w:pPr>
              <w:pStyle w:val="TableContents"/>
              <w:bidi w:val="0"/>
              <w:spacing w:before="0" w:after="283"/>
              <w:jc w:val="center"/>
              <w:rPr/>
            </w:pPr>
            <w:hyperlink w:anchor="S_EXPERTS">
              <w:r>
                <w:rPr>
                  <w:rStyle w:val="InternetLink"/>
                  <w:u w:val="single"/>
                </w:rPr>
                <w:t>S-21</w:t>
              </w:r>
            </w:hyperlink>
          </w:p>
        </w:tc>
      </w:tr>
      <w:tr>
        <w:trPr/>
        <w:tc>
          <w:tcPr>
            <w:tcW w:w="6230" w:type="dxa"/>
            <w:tcBorders/>
            <w:shd w:fill="CCEEFF" w:val="clear"/>
            <w:vAlign w:val="center"/>
          </w:tcPr>
          <w:p>
            <w:pPr>
              <w:pStyle w:val="TableContents"/>
              <w:bidi w:val="0"/>
              <w:spacing w:before="0" w:after="0"/>
              <w:ind w:left="0" w:right="0" w:hanging="0"/>
              <w:jc w:val="left"/>
              <w:rPr/>
            </w:pPr>
            <w:hyperlink w:anchor="S_MORE_INFO">
              <w:r>
                <w:rPr>
                  <w:rStyle w:val="InternetLink"/>
                  <w:rFonts w:ascii="Times New Roman" w:hAnsi="Times New Roman"/>
                  <w:caps w:val="false"/>
                  <w:smallCaps w:val="false"/>
                  <w:sz w:val="20"/>
                  <w:u w:val="single"/>
                </w:rPr>
                <w:t>WHERE YOU CAN FIND MORE INFORMATION</w:t>
              </w:r>
            </w:hyperlink>
          </w:p>
        </w:tc>
        <w:tc>
          <w:tcPr>
            <w:tcW w:w="470" w:type="dxa"/>
            <w:tcBorders/>
            <w:shd w:fill="CCEEFF" w:val="clear"/>
            <w:vAlign w:val="center"/>
          </w:tcPr>
          <w:p>
            <w:pPr>
              <w:pStyle w:val="TableContents"/>
              <w:bidi w:val="0"/>
              <w:spacing w:before="0" w:after="283"/>
              <w:jc w:val="center"/>
              <w:rPr/>
            </w:pPr>
            <w:hyperlink w:anchor="S_MORE_INFO">
              <w:r>
                <w:rPr>
                  <w:rStyle w:val="InternetLink"/>
                  <w:u w:val="single"/>
                </w:rPr>
                <w:t>S-21</w:t>
              </w:r>
            </w:hyperlink>
          </w:p>
        </w:tc>
      </w:tr>
      <w:tr>
        <w:trPr/>
        <w:tc>
          <w:tcPr>
            <w:tcW w:w="6230" w:type="dxa"/>
            <w:tcBorders/>
            <w:shd w:fill="FFFFFF" w:val="clear"/>
            <w:vAlign w:val="center"/>
          </w:tcPr>
          <w:p>
            <w:pPr>
              <w:pStyle w:val="TableContents"/>
              <w:bidi w:val="0"/>
              <w:spacing w:before="0" w:after="0"/>
              <w:ind w:left="0" w:right="0" w:hanging="0"/>
              <w:jc w:val="left"/>
              <w:rPr/>
            </w:pPr>
            <w:hyperlink w:anchor="S_INCORPORATION_BY_REFERENCE">
              <w:r>
                <w:rPr>
                  <w:rStyle w:val="InternetLink"/>
                  <w:rFonts w:ascii="Times New Roman" w:hAnsi="Times New Roman"/>
                  <w:caps w:val="false"/>
                  <w:smallCaps w:val="false"/>
                  <w:sz w:val="20"/>
                  <w:u w:val="single"/>
                </w:rPr>
                <w:t>INFORMATION INCORPORATED BY REFERENCE</w:t>
              </w:r>
            </w:hyperlink>
          </w:p>
        </w:tc>
        <w:tc>
          <w:tcPr>
            <w:tcW w:w="470" w:type="dxa"/>
            <w:tcBorders/>
            <w:shd w:fill="FFFFFF" w:val="clear"/>
            <w:vAlign w:val="center"/>
          </w:tcPr>
          <w:p>
            <w:pPr>
              <w:pStyle w:val="TableContents"/>
              <w:bidi w:val="0"/>
              <w:spacing w:before="0" w:after="283"/>
              <w:jc w:val="center"/>
              <w:rPr/>
            </w:pPr>
            <w:hyperlink w:anchor="S_INCORPORATION_BY_REFERENCE">
              <w:r>
                <w:rPr>
                  <w:rStyle w:val="InternetLink"/>
                  <w:u w:val="single"/>
                </w:rPr>
                <w:t>S-22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230"/>
        <w:gridCol w:w="38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ABOUT_PROSPECTUS">
              <w:r>
                <w:rPr>
                  <w:rStyle w:val="InternetLink"/>
                  <w:rFonts w:ascii="Times New Roman" w:hAnsi="Times New Roman"/>
                  <w:caps w:val="false"/>
                  <w:smallCaps w:val="false"/>
                  <w:sz w:val="20"/>
                  <w:u w:val="single"/>
                </w:rPr>
                <w:t>ABOUT THIS PROSPECTUS</w:t>
              </w:r>
            </w:hyperlink>
          </w:p>
        </w:tc>
        <w:tc>
          <w:tcPr>
            <w:tcW w:w="380" w:type="dxa"/>
            <w:tcBorders/>
            <w:shd w:fill="CCEEFF" w:val="clear"/>
            <w:vAlign w:val="center"/>
          </w:tcPr>
          <w:p>
            <w:pPr>
              <w:pStyle w:val="TableContents"/>
              <w:bidi w:val="0"/>
              <w:spacing w:before="0" w:after="283"/>
              <w:jc w:val="center"/>
              <w:rPr/>
            </w:pPr>
            <w:hyperlink w:anchor="ABOUT_PROSPECTUS">
              <w:r>
                <w:rPr>
                  <w:rStyle w:val="InternetLink"/>
                  <w:u w:val="single"/>
                </w:rPr>
                <w:t>1</w:t>
              </w:r>
            </w:hyperlink>
          </w:p>
        </w:tc>
      </w:tr>
      <w:tr>
        <w:trPr/>
        <w:tc>
          <w:tcPr>
            <w:tcW w:w="6230" w:type="dxa"/>
            <w:tcBorders/>
            <w:shd w:fill="FFFFFF" w:val="clear"/>
            <w:vAlign w:val="center"/>
          </w:tcPr>
          <w:p>
            <w:pPr>
              <w:pStyle w:val="TableContents"/>
              <w:bidi w:val="0"/>
              <w:spacing w:before="0" w:after="0"/>
              <w:ind w:left="0" w:right="0" w:hanging="0"/>
              <w:jc w:val="left"/>
              <w:rPr/>
            </w:pPr>
            <w:hyperlink w:anchor="CAUTIONARY_NOTE">
              <w:r>
                <w:rPr>
                  <w:rStyle w:val="InternetLink"/>
                  <w:rFonts w:ascii="Times New Roman" w:hAnsi="Times New Roman"/>
                  <w:caps w:val="false"/>
                  <w:smallCaps w:val="false"/>
                  <w:sz w:val="20"/>
                  <w:u w:val="single"/>
                </w:rPr>
                <w:t>CAUTIONARY NOTE REGARDING FORWARD-LOOKING STATEMENTS</w:t>
              </w:r>
            </w:hyperlink>
          </w:p>
        </w:tc>
        <w:tc>
          <w:tcPr>
            <w:tcW w:w="380" w:type="dxa"/>
            <w:tcBorders/>
            <w:shd w:fill="FFFFFF" w:val="clear"/>
            <w:vAlign w:val="center"/>
          </w:tcPr>
          <w:p>
            <w:pPr>
              <w:pStyle w:val="TableContents"/>
              <w:bidi w:val="0"/>
              <w:spacing w:before="0" w:after="283"/>
              <w:jc w:val="center"/>
              <w:rPr/>
            </w:pPr>
            <w:hyperlink w:anchor="CAUTIONARY_NOTE">
              <w:r>
                <w:rPr>
                  <w:rStyle w:val="InternetLink"/>
                  <w:u w:val="single"/>
                </w:rPr>
                <w:t>2</w:t>
              </w:r>
            </w:hyperlink>
          </w:p>
        </w:tc>
      </w:tr>
      <w:tr>
        <w:trPr/>
        <w:tc>
          <w:tcPr>
            <w:tcW w:w="6230" w:type="dxa"/>
            <w:tcBorders/>
            <w:shd w:fill="CCEEFF" w:val="clear"/>
            <w:vAlign w:val="center"/>
          </w:tcPr>
          <w:p>
            <w:pPr>
              <w:pStyle w:val="TableContents"/>
              <w:bidi w:val="0"/>
              <w:spacing w:before="0" w:after="0"/>
              <w:ind w:left="0" w:right="0" w:hanging="0"/>
              <w:jc w:val="left"/>
              <w:rPr/>
            </w:pPr>
            <w:hyperlink w:anchor="MARKET_DATA">
              <w:r>
                <w:rPr>
                  <w:rStyle w:val="InternetLink"/>
                  <w:rFonts w:ascii="Times New Roman" w:hAnsi="Times New Roman"/>
                  <w:caps w:val="false"/>
                  <w:smallCaps w:val="false"/>
                  <w:sz w:val="20"/>
                  <w:u w:val="single"/>
                </w:rPr>
                <w:t>MARKET AND INDUSTRY DATA</w:t>
              </w:r>
            </w:hyperlink>
          </w:p>
        </w:tc>
        <w:tc>
          <w:tcPr>
            <w:tcW w:w="380" w:type="dxa"/>
            <w:tcBorders/>
            <w:shd w:fill="CCEEFF" w:val="clear"/>
            <w:vAlign w:val="center"/>
          </w:tcPr>
          <w:p>
            <w:pPr>
              <w:pStyle w:val="TableContents"/>
              <w:bidi w:val="0"/>
              <w:spacing w:before="0" w:after="283"/>
              <w:jc w:val="center"/>
              <w:rPr/>
            </w:pPr>
            <w:hyperlink w:anchor="MARKET_DATA">
              <w:r>
                <w:rPr>
                  <w:rStyle w:val="InternetLink"/>
                  <w:u w:val="single"/>
                </w:rPr>
                <w:t>4</w:t>
              </w:r>
            </w:hyperlink>
          </w:p>
        </w:tc>
      </w:tr>
      <w:tr>
        <w:trPr/>
        <w:tc>
          <w:tcPr>
            <w:tcW w:w="6230" w:type="dxa"/>
            <w:tcBorders/>
            <w:shd w:fill="FFFFFF" w:val="clear"/>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u w:val="single"/>
                </w:rPr>
                <w:t>PROSPECTUS SUMMARY</w:t>
              </w:r>
            </w:hyperlink>
          </w:p>
        </w:tc>
        <w:tc>
          <w:tcPr>
            <w:tcW w:w="380" w:type="dxa"/>
            <w:tcBorders/>
            <w:shd w:fill="FFFFFF" w:val="clear"/>
            <w:vAlign w:val="center"/>
          </w:tcPr>
          <w:p>
            <w:pPr>
              <w:pStyle w:val="TableContents"/>
              <w:bidi w:val="0"/>
              <w:spacing w:before="0" w:after="283"/>
              <w:jc w:val="center"/>
              <w:rPr/>
            </w:pPr>
            <w:hyperlink w:anchor="SUMMARY">
              <w:r>
                <w:rPr>
                  <w:rStyle w:val="InternetLink"/>
                  <w:u w:val="single"/>
                </w:rPr>
                <w:t>5</w:t>
              </w:r>
            </w:hyperlink>
          </w:p>
        </w:tc>
      </w:tr>
      <w:tr>
        <w:trPr/>
        <w:tc>
          <w:tcPr>
            <w:tcW w:w="6230" w:type="dxa"/>
            <w:tcBorders/>
            <w:shd w:fill="CCEEFF" w:val="clear"/>
            <w:vAlign w:val="center"/>
          </w:tcPr>
          <w:p>
            <w:pPr>
              <w:pStyle w:val="TableContents"/>
              <w:bidi w:val="0"/>
              <w:spacing w:before="0" w:after="0"/>
              <w:ind w:left="0" w:right="0" w:hanging="0"/>
              <w:jc w:val="left"/>
              <w:rPr/>
            </w:pPr>
            <w:hyperlink w:anchor="RISK_FACTORS">
              <w:r>
                <w:rPr>
                  <w:rStyle w:val="InternetLink"/>
                  <w:rFonts w:ascii="Times New Roman" w:hAnsi="Times New Roman"/>
                  <w:caps w:val="false"/>
                  <w:smallCaps w:val="false"/>
                  <w:sz w:val="20"/>
                  <w:u w:val="single"/>
                </w:rPr>
                <w:t>RISK FACTORS</w:t>
              </w:r>
            </w:hyperlink>
          </w:p>
        </w:tc>
        <w:tc>
          <w:tcPr>
            <w:tcW w:w="380" w:type="dxa"/>
            <w:tcBorders/>
            <w:shd w:fill="CCEEFF" w:val="clear"/>
            <w:vAlign w:val="center"/>
          </w:tcPr>
          <w:p>
            <w:pPr>
              <w:pStyle w:val="TableContents"/>
              <w:bidi w:val="0"/>
              <w:spacing w:before="0" w:after="283"/>
              <w:jc w:val="center"/>
              <w:rPr/>
            </w:pPr>
            <w:hyperlink w:anchor="RISK_FACTORS">
              <w:r>
                <w:rPr>
                  <w:rStyle w:val="InternetLink"/>
                  <w:u w:val="single"/>
                </w:rPr>
                <w:t>9</w:t>
              </w:r>
            </w:hyperlink>
          </w:p>
        </w:tc>
      </w:tr>
      <w:tr>
        <w:trPr/>
        <w:tc>
          <w:tcPr>
            <w:tcW w:w="6230" w:type="dxa"/>
            <w:tcBorders/>
            <w:shd w:fill="FFFFFF" w:val="clear"/>
            <w:vAlign w:val="center"/>
          </w:tcPr>
          <w:p>
            <w:pPr>
              <w:pStyle w:val="TableContents"/>
              <w:bidi w:val="0"/>
              <w:spacing w:before="0" w:after="0"/>
              <w:ind w:left="0" w:right="0" w:hanging="0"/>
              <w:jc w:val="left"/>
              <w:rPr/>
            </w:pPr>
            <w:hyperlink w:anchor="PROCEEDS">
              <w:r>
                <w:rPr>
                  <w:rStyle w:val="InternetLink"/>
                  <w:rFonts w:ascii="Times New Roman" w:hAnsi="Times New Roman"/>
                  <w:caps w:val="false"/>
                  <w:smallCaps w:val="false"/>
                  <w:sz w:val="20"/>
                  <w:u w:val="single"/>
                </w:rPr>
                <w:t>USE OF PROCEEDS</w:t>
              </w:r>
            </w:hyperlink>
          </w:p>
        </w:tc>
        <w:tc>
          <w:tcPr>
            <w:tcW w:w="380" w:type="dxa"/>
            <w:tcBorders/>
            <w:shd w:fill="FFFFFF" w:val="clear"/>
            <w:vAlign w:val="center"/>
          </w:tcPr>
          <w:p>
            <w:pPr>
              <w:pStyle w:val="TableContents"/>
              <w:bidi w:val="0"/>
              <w:spacing w:before="0" w:after="283"/>
              <w:jc w:val="center"/>
              <w:rPr/>
            </w:pPr>
            <w:hyperlink w:anchor="PROCEEDS">
              <w:r>
                <w:rPr>
                  <w:rStyle w:val="InternetLink"/>
                  <w:u w:val="single"/>
                </w:rPr>
                <w:t>10</w:t>
              </w:r>
            </w:hyperlink>
          </w:p>
        </w:tc>
      </w:tr>
      <w:tr>
        <w:trPr/>
        <w:tc>
          <w:tcPr>
            <w:tcW w:w="6230" w:type="dxa"/>
            <w:tcBorders/>
            <w:shd w:fill="CCEEFF" w:val="clear"/>
            <w:vAlign w:val="center"/>
          </w:tcPr>
          <w:p>
            <w:pPr>
              <w:pStyle w:val="TableContents"/>
              <w:bidi w:val="0"/>
              <w:spacing w:before="0" w:after="0"/>
              <w:ind w:left="0" w:right="0" w:hanging="0"/>
              <w:jc w:val="left"/>
              <w:rPr/>
            </w:pPr>
            <w:hyperlink w:anchor="CAPITAL_STOCK">
              <w:r>
                <w:rPr>
                  <w:rStyle w:val="InternetLink"/>
                  <w:rFonts w:ascii="Times New Roman" w:hAnsi="Times New Roman"/>
                  <w:caps w:val="false"/>
                  <w:smallCaps w:val="false"/>
                  <w:sz w:val="20"/>
                  <w:u w:val="single"/>
                </w:rPr>
                <w:t>DESCRIPTION OF CAPITAL STOCK</w:t>
              </w:r>
            </w:hyperlink>
          </w:p>
        </w:tc>
        <w:tc>
          <w:tcPr>
            <w:tcW w:w="380" w:type="dxa"/>
            <w:tcBorders/>
            <w:shd w:fill="CCEEFF" w:val="clear"/>
            <w:vAlign w:val="center"/>
          </w:tcPr>
          <w:p>
            <w:pPr>
              <w:pStyle w:val="TableContents"/>
              <w:bidi w:val="0"/>
              <w:spacing w:before="0" w:after="283"/>
              <w:jc w:val="center"/>
              <w:rPr/>
            </w:pPr>
            <w:hyperlink w:anchor="CAPITAL_STOCK">
              <w:r>
                <w:rPr>
                  <w:rStyle w:val="InternetLink"/>
                  <w:u w:val="single"/>
                </w:rPr>
                <w:t>11</w:t>
              </w:r>
            </w:hyperlink>
          </w:p>
        </w:tc>
      </w:tr>
      <w:tr>
        <w:trPr/>
        <w:tc>
          <w:tcPr>
            <w:tcW w:w="6230" w:type="dxa"/>
            <w:tcBorders/>
            <w:shd w:fill="FFFFFF" w:val="clear"/>
            <w:vAlign w:val="center"/>
          </w:tcPr>
          <w:p>
            <w:pPr>
              <w:pStyle w:val="TableContents"/>
              <w:bidi w:val="0"/>
              <w:spacing w:before="0" w:after="0"/>
              <w:ind w:left="0" w:right="0" w:hanging="0"/>
              <w:jc w:val="left"/>
              <w:rPr/>
            </w:pPr>
            <w:hyperlink w:anchor="DEBT_SECURITIES">
              <w:r>
                <w:rPr>
                  <w:rStyle w:val="InternetLink"/>
                  <w:rFonts w:ascii="Times New Roman" w:hAnsi="Times New Roman"/>
                  <w:caps w:val="false"/>
                  <w:smallCaps w:val="false"/>
                  <w:sz w:val="20"/>
                  <w:u w:val="single"/>
                </w:rPr>
                <w:t>DESCRIPTION OF DEBT SECURITIES</w:t>
              </w:r>
            </w:hyperlink>
          </w:p>
        </w:tc>
        <w:tc>
          <w:tcPr>
            <w:tcW w:w="380" w:type="dxa"/>
            <w:tcBorders/>
            <w:shd w:fill="FFFFFF" w:val="clear"/>
            <w:vAlign w:val="center"/>
          </w:tcPr>
          <w:p>
            <w:pPr>
              <w:pStyle w:val="TableContents"/>
              <w:bidi w:val="0"/>
              <w:spacing w:before="0" w:after="283"/>
              <w:jc w:val="center"/>
              <w:rPr/>
            </w:pPr>
            <w:hyperlink w:anchor="DEBT_SECURITIES">
              <w:r>
                <w:rPr>
                  <w:rStyle w:val="InternetLink"/>
                  <w:u w:val="single"/>
                </w:rPr>
                <w:t>16</w:t>
              </w:r>
            </w:hyperlink>
          </w:p>
        </w:tc>
      </w:tr>
      <w:tr>
        <w:trPr/>
        <w:tc>
          <w:tcPr>
            <w:tcW w:w="6230" w:type="dxa"/>
            <w:tcBorders/>
            <w:shd w:fill="CCEEFF" w:val="clear"/>
            <w:vAlign w:val="center"/>
          </w:tcPr>
          <w:p>
            <w:pPr>
              <w:pStyle w:val="TableContents"/>
              <w:bidi w:val="0"/>
              <w:spacing w:before="0" w:after="0"/>
              <w:ind w:left="0" w:right="0" w:hanging="0"/>
              <w:jc w:val="left"/>
              <w:rPr/>
            </w:pPr>
            <w:hyperlink w:anchor="WARRANTS">
              <w:r>
                <w:rPr>
                  <w:rStyle w:val="InternetLink"/>
                  <w:rFonts w:ascii="Times New Roman" w:hAnsi="Times New Roman"/>
                  <w:caps w:val="false"/>
                  <w:smallCaps w:val="false"/>
                  <w:sz w:val="20"/>
                  <w:u w:val="single"/>
                </w:rPr>
                <w:t>DESCRIPTION OF WARRANTS</w:t>
              </w:r>
            </w:hyperlink>
          </w:p>
        </w:tc>
        <w:tc>
          <w:tcPr>
            <w:tcW w:w="380" w:type="dxa"/>
            <w:tcBorders/>
            <w:shd w:fill="CCEEFF" w:val="clear"/>
            <w:vAlign w:val="center"/>
          </w:tcPr>
          <w:p>
            <w:pPr>
              <w:pStyle w:val="TableContents"/>
              <w:bidi w:val="0"/>
              <w:spacing w:before="0" w:after="283"/>
              <w:jc w:val="center"/>
              <w:rPr/>
            </w:pPr>
            <w:hyperlink w:anchor="WARRANTS">
              <w:r>
                <w:rPr>
                  <w:rStyle w:val="InternetLink"/>
                  <w:u w:val="single"/>
                </w:rPr>
                <w:t>22</w:t>
              </w:r>
            </w:hyperlink>
          </w:p>
        </w:tc>
      </w:tr>
      <w:tr>
        <w:trPr/>
        <w:tc>
          <w:tcPr>
            <w:tcW w:w="6230" w:type="dxa"/>
            <w:tcBorders/>
            <w:shd w:fill="FFFFFF" w:val="clear"/>
            <w:vAlign w:val="center"/>
          </w:tcPr>
          <w:p>
            <w:pPr>
              <w:pStyle w:val="TableContents"/>
              <w:bidi w:val="0"/>
              <w:spacing w:before="0" w:after="0"/>
              <w:ind w:left="0" w:right="0" w:hanging="0"/>
              <w:jc w:val="left"/>
              <w:rPr/>
            </w:pPr>
            <w:hyperlink w:anchor="UNITS">
              <w:r>
                <w:rPr>
                  <w:rStyle w:val="InternetLink"/>
                  <w:rFonts w:ascii="Times New Roman" w:hAnsi="Times New Roman"/>
                  <w:caps w:val="false"/>
                  <w:smallCaps w:val="false"/>
                  <w:sz w:val="20"/>
                  <w:u w:val="single"/>
                </w:rPr>
                <w:t>DESCRIPTION OF UNITS</w:t>
              </w:r>
            </w:hyperlink>
          </w:p>
        </w:tc>
        <w:tc>
          <w:tcPr>
            <w:tcW w:w="380" w:type="dxa"/>
            <w:tcBorders/>
            <w:shd w:fill="FFFFFF" w:val="clear"/>
            <w:vAlign w:val="center"/>
          </w:tcPr>
          <w:p>
            <w:pPr>
              <w:pStyle w:val="TableContents"/>
              <w:bidi w:val="0"/>
              <w:spacing w:before="0" w:after="283"/>
              <w:jc w:val="center"/>
              <w:rPr/>
            </w:pPr>
            <w:hyperlink w:anchor="UNITS">
              <w:r>
                <w:rPr>
                  <w:rStyle w:val="InternetLink"/>
                  <w:u w:val="single"/>
                </w:rPr>
                <w:t>23</w:t>
              </w:r>
            </w:hyperlink>
          </w:p>
        </w:tc>
      </w:tr>
      <w:tr>
        <w:trPr/>
        <w:tc>
          <w:tcPr>
            <w:tcW w:w="6230" w:type="dxa"/>
            <w:tcBorders/>
            <w:shd w:fill="CCEEFF" w:val="clear"/>
            <w:vAlign w:val="center"/>
          </w:tcPr>
          <w:p>
            <w:pPr>
              <w:pStyle w:val="TableContents"/>
              <w:bidi w:val="0"/>
              <w:spacing w:before="0" w:after="0"/>
              <w:ind w:left="0" w:right="0" w:hanging="0"/>
              <w:jc w:val="left"/>
              <w:rPr/>
            </w:pPr>
            <w:hyperlink w:anchor="DISTRIBUTION">
              <w:r>
                <w:rPr>
                  <w:rStyle w:val="InternetLink"/>
                  <w:rFonts w:ascii="Times New Roman" w:hAnsi="Times New Roman"/>
                  <w:caps w:val="false"/>
                  <w:smallCaps w:val="false"/>
                  <w:sz w:val="20"/>
                  <w:u w:val="single"/>
                </w:rPr>
                <w:t>PLAN OF DISTRIBUTION</w:t>
              </w:r>
            </w:hyperlink>
          </w:p>
        </w:tc>
        <w:tc>
          <w:tcPr>
            <w:tcW w:w="380" w:type="dxa"/>
            <w:tcBorders/>
            <w:shd w:fill="CCEEFF" w:val="clear"/>
            <w:vAlign w:val="center"/>
          </w:tcPr>
          <w:p>
            <w:pPr>
              <w:pStyle w:val="TableContents"/>
              <w:bidi w:val="0"/>
              <w:spacing w:before="0" w:after="283"/>
              <w:jc w:val="center"/>
              <w:rPr/>
            </w:pPr>
            <w:hyperlink w:anchor="DISTRIBUTION">
              <w:r>
                <w:rPr>
                  <w:rStyle w:val="InternetLink"/>
                  <w:u w:val="single"/>
                </w:rPr>
                <w:t>24</w:t>
              </w:r>
            </w:hyperlink>
          </w:p>
        </w:tc>
      </w:tr>
      <w:tr>
        <w:trPr/>
        <w:tc>
          <w:tcPr>
            <w:tcW w:w="623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MATTERS</w:t>
              </w:r>
            </w:hyperlink>
          </w:p>
        </w:tc>
        <w:tc>
          <w:tcPr>
            <w:tcW w:w="380" w:type="dxa"/>
            <w:tcBorders/>
            <w:shd w:fill="FFFFFF" w:val="clear"/>
            <w:vAlign w:val="center"/>
          </w:tcPr>
          <w:p>
            <w:pPr>
              <w:pStyle w:val="TableContents"/>
              <w:bidi w:val="0"/>
              <w:spacing w:before="0" w:after="283"/>
              <w:jc w:val="center"/>
              <w:rPr/>
            </w:pPr>
            <w:hyperlink w:anchor="LEGAL">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380" w:type="dxa"/>
            <w:tcBorders/>
            <w:shd w:fill="CCEEFF" w:val="clear"/>
            <w:vAlign w:val="center"/>
          </w:tcPr>
          <w:p>
            <w:pPr>
              <w:pStyle w:val="TableContents"/>
              <w:bidi w:val="0"/>
              <w:spacing w:before="0" w:after="283"/>
              <w:jc w:val="center"/>
              <w:rPr/>
            </w:pPr>
            <w:hyperlink w:anchor="EXPERTS">
              <w:r>
                <w:rPr>
                  <w:rStyle w:val="InternetLink"/>
                  <w:u w:val="single"/>
                </w:rPr>
                <w:t>26</w:t>
              </w:r>
            </w:hyperlink>
          </w:p>
        </w:tc>
      </w:tr>
      <w:tr>
        <w:trPr/>
        <w:tc>
          <w:tcPr>
            <w:tcW w:w="6230" w:type="dxa"/>
            <w:tcBorders/>
            <w:shd w:fill="FFFFFF" w:val="clear"/>
            <w:vAlign w:val="center"/>
          </w:tcPr>
          <w:p>
            <w:pPr>
              <w:pStyle w:val="TableContents"/>
              <w:bidi w:val="0"/>
              <w:spacing w:before="0" w:after="0"/>
              <w:ind w:left="0" w:right="0" w:hanging="0"/>
              <w:jc w:val="left"/>
              <w:rPr/>
            </w:pPr>
            <w:hyperlink w:anchor="MORE_INFO">
              <w:r>
                <w:rPr>
                  <w:rStyle w:val="InternetLink"/>
                  <w:rFonts w:ascii="Times New Roman" w:hAnsi="Times New Roman"/>
                  <w:caps w:val="false"/>
                  <w:smallCaps w:val="false"/>
                  <w:sz w:val="20"/>
                  <w:u w:val="single"/>
                </w:rPr>
                <w:t>WHERE YOU CAN FIND MORE INFORMATION</w:t>
              </w:r>
            </w:hyperlink>
          </w:p>
        </w:tc>
        <w:tc>
          <w:tcPr>
            <w:tcW w:w="380" w:type="dxa"/>
            <w:tcBorders/>
            <w:shd w:fill="FFFFFF" w:val="clear"/>
            <w:vAlign w:val="center"/>
          </w:tcPr>
          <w:p>
            <w:pPr>
              <w:pStyle w:val="TableContents"/>
              <w:bidi w:val="0"/>
              <w:spacing w:before="0" w:after="283"/>
              <w:jc w:val="center"/>
              <w:rPr/>
            </w:pPr>
            <w:hyperlink w:anchor="MORE_INFO">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INCORPORATION_BY_REFERENCE">
              <w:r>
                <w:rPr>
                  <w:rStyle w:val="InternetLink"/>
                  <w:rFonts w:ascii="Times New Roman" w:hAnsi="Times New Roman"/>
                  <w:caps w:val="false"/>
                  <w:smallCaps w:val="false"/>
                  <w:sz w:val="20"/>
                  <w:u w:val="single"/>
                </w:rPr>
                <w:t>INFORMATION INCORPORATED BY REFERENCE</w:t>
              </w:r>
            </w:hyperlink>
          </w:p>
        </w:tc>
        <w:tc>
          <w:tcPr>
            <w:tcW w:w="380" w:type="dxa"/>
            <w:tcBorders/>
            <w:shd w:fill="CCEEFF" w:val="clear"/>
            <w:vAlign w:val="center"/>
          </w:tcPr>
          <w:p>
            <w:pPr>
              <w:pStyle w:val="TableContents"/>
              <w:bidi w:val="0"/>
              <w:spacing w:before="0" w:after="283"/>
              <w:jc w:val="center"/>
              <w:rPr/>
            </w:pPr>
            <w:hyperlink w:anchor="INCORPORATION_BY_REFERENCE">
              <w:r>
                <w:rPr>
                  <w:rStyle w:val="InternetLink"/>
                  <w:u w:val="single"/>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 w:name="S_ABOUT_PROSPECTUS"/>
      <w:bookmarkEnd w:id="4"/>
      <w:r>
        <w:rPr>
          <w:rFonts w:ascii="Times New Roman;Times;serif" w:hAnsi="Times New Roman;Times;serif"/>
          <w:b/>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is part of a Registration Statement on Form S-3 (the “Registration Statement”) that we filed with the U.S. Securities and Exchange Commission (“SEC”) using the “shelf” registration process. By using a shelf registration statement, we may offer and sell securities having an aggregate offering price of up to $160,000,000 from time to time under the Registration Statement at prices and on terms to be determined by market conditions at the time of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provides you with a description of the offering. You should read this prospectus supplement together with the additional information to which we refer you in the section of this prospectus supplement titled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together with the information incorporated by reference as described in the section of this prospectus supplement titled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provide information to you about this offering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and the information contained in any document incorporated by reference in this prospectus supplement,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supplement. We have not, and the underwriters have not, authorized anyone to provide you with any information or to make any representations other than those contained in this prospectus supplement. We and the underwriters do not take responsibility for, and can provide no assurance as to the reliability of, any other information that others may give you. We will not, and the underwriters will not, make an offer to sell these securities in any jurisdiction where the offer or sale is not permitted. You should assume that the information appearing in this prospectus supplement is accurate only as of the date on the front cover of this prospectus supplement. Our business, financial condition, results of operations and prospects may have changed since that date.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and the underwriters have not, done anything that would permit this offering or possession or distribution of this prospectus supplement in any jurisdiction where action for that purpose is required, other than the United States. Persons outside of the United States who come into possession of this prospectus supplement must inform themselves about, and observe any restrictions relating to, the offering of securities and the distribution of this prospectus supplement outside of the United States.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supplement, together with information incorporated by reference herein, before deciding whether to invest in the securities being offered.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contain summaries of certain provisions contained in some of the documents described herein or therein, but reference is made to the actual documents for complete information. All of the summaries are qualified in their entirety by the actual documents. Copies of some of the documents referred to herein or therein have been filed, will be filed or will be incorporated by reference as exhibits to the registration statement of which this prospectus supplement is a part, and you may obtain copies of those documents as described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We use various trademarks and trade names in our business, including without limitation our corporate name and logo. All other trademarks or trade names referred to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5" w:name="S_CAUTIONARY_NOTE"/>
      <w:bookmarkEnd w:id="5"/>
      <w:r>
        <w:rPr>
          <w:rFonts w:ascii="Times New Roman;Times;serif" w:hAnsi="Times New Roman;Times;serif"/>
          <w:b/>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of 1933, as amended (the “Securities Act”). Certain statements in this prospectus supplement may constitute “forward-looking statements” for purposes of the federal securities laws.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supplement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future financial performance, including our ability to continue as a going concern;</w:t>
            </w:r>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strategies to raise additional funding;</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results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likelihood of commercial success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plans and strategies to obtain and maintain regulatory approvals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and growth potential of the markets for our drug candidates, and our ability to serve those markets, either alone or in combination with others;</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the market for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expansion plans and opportunities;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factors detailed under “Risk Factors” in our most recent Annual Report on Form 10-K and any subsequent Quarterly Reports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forward-looking statements represent our views as of the date of this prospectus supplement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substantial dependence on the successful commercialization of our drug candidates, if approved,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significant net losses and net operating cash outflows;</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demonstrate the efficacy and safety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clinical results for our drug candidates, which may not support further development or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actions of regulatory agencies, which may affect the initiation, timing, and progress of clinical trials and marketing approval;</w:t>
            </w:r>
          </w:p>
        </w:tc>
      </w:tr>
    </w:tbl>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achieve commercial success for our drug candidates, if approved;</w:t>
            </w:r>
          </w:p>
        </w:tc>
      </w:tr>
    </w:tbl>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and maintain protection of intellectual property for our technology and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third parties to conduct research, drug development and other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operating history and our ability to obtain additional funding for operations and to complete the licensing or development and commercialization of our drug candidates;</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any future epidemics, pandemics or conflicts;</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applicable laws or regulations;</w:t>
            </w:r>
          </w:p>
        </w:tc>
      </w:tr>
    </w:tbl>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inflation;</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staffing and materials shortages;</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that we may be adversely affected by other economic, business, and/or competitive factors;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and uncertainties set forth in “Risk Factors” in our most recent Annual Report on Form 10-K and any subsequent Quarterly Reports on Form 10-Q.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 w:name="S_MARKET_DATA"/>
      <w:bookmarkEnd w:id="6"/>
      <w:r>
        <w:rPr>
          <w:rFonts w:ascii="Times New Roman;Times;serif" w:hAnsi="Times New Roman;Times;serif"/>
          <w:b/>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supplement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is reliable and based on reasonable assumptions, such data involve material risks and other uncertainties and are subject to change based on various factors, including those discussed in “</w:t>
      </w:r>
      <w:r>
        <w:rPr>
          <w:rFonts w:ascii="Times New Roman" w:hAnsi="Times New Roman"/>
          <w:i/>
          <w:caps w:val="false"/>
          <w:smallCaps w:val="false"/>
          <w:sz w:val="20"/>
        </w:rPr>
        <w:t>Risk Factors</w:t>
      </w:r>
      <w:r>
        <w:rPr>
          <w:rFonts w:ascii="Times New Roman" w:hAnsi="Times New Roman"/>
          <w:caps w:val="false"/>
          <w:smallCaps w:val="false"/>
          <w:sz w:val="20"/>
        </w:rPr>
        <w:t>.” These and other factors could cause results to differ materially from those expressed in the estimates made by the independent parties or by 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7" w:name="S_SUMMARY"/>
      <w:bookmarkEnd w:id="7"/>
      <w:r>
        <w:rPr>
          <w:rFonts w:ascii="Times New Roman;Times;serif" w:hAnsi="Times New Roman;Times;serif"/>
          <w:b/>
          <w:sz w:val="20"/>
        </w:rPr>
        <w:t>PROSPECTUS SUPPLEMENT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This summary highlights selected information from this prospectus supplement and does not contain all of the information that is important to you in making an investment decision. This summary is qualified in its entirety by the more detailed information included elsewhere in this prospectus supplement. Before making your investment decision with respect to our securities, you should carefully read this entire prospectus supplement, the accompanying base prospectus, and the information incorporated herein and therein by reference. Unless the context otherwise requires, references to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the Company,</w:t>
      </w:r>
      <w:r>
        <w:rPr>
          <w:rFonts w:ascii="Times New Roman" w:hAnsi="Times New Roman"/>
          <w:caps w:val="false"/>
          <w:smallCaps w:val="false"/>
          <w:sz w:val="20"/>
        </w:rPr>
        <w:t>” “</w:t>
      </w:r>
      <w:r>
        <w:rPr>
          <w:rFonts w:ascii="Times New Roman" w:hAnsi="Times New Roman"/>
          <w:i/>
          <w:caps w:val="false"/>
          <w:smallCaps w:val="false"/>
          <w:sz w:val="20"/>
        </w:rPr>
        <w:t>Clene,</w:t>
      </w:r>
      <w:r>
        <w:rPr>
          <w:rFonts w:ascii="Times New Roman" w:hAnsi="Times New Roman"/>
          <w:caps w:val="false"/>
          <w:smallCaps w:val="false"/>
          <w:sz w:val="20"/>
        </w:rPr>
        <w:t xml:space="preserve">” </w:t>
      </w:r>
      <w:r>
        <w:rPr>
          <w:rFonts w:ascii="Times New Roman" w:hAnsi="Times New Roman"/>
          <w:i/>
          <w:caps w:val="false"/>
          <w:smallCaps w:val="false"/>
          <w:sz w:val="20"/>
        </w:rPr>
        <w:t>and similar designations are intended to mean the business and operations of Clene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clinical-stage pharmaceutical company pioneering the discovery, development, and commercialization of novel clean-surfaced nanotechnology (“CSN®”) therapeutics. CSN®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materials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 owned subsidiary, dOrbital, Inc., or through an exclusive license with 4Life Research LLC (“4Life”), an international supplier of health supplements, stockholder, debt holder, and related party. We anticipate these revenues to be small compared to our operating expenses and to the revenue we expect to generate from potential future sales of our drug candidates, for which we are currently conducting clinical trials.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Developments of Our Clinical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Amyotrophic Lateral Sclerosis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had a Type C in-person meeting with the U.S. Food and Drug Administration (“FDA”) in the first quarter of 2026 to discuss the statistically significant reductions in neurofilament light (“NfL”) and glial fibrillary acidic protein (“GFAP”), the strong associations of biomarker improvements with longer survival in participants treated with CNM-Au8®, and to confirm our ability to file a new drug application (“NDA”) for ALS under an accelerated approval pathway. On May 4, 2026, we announced receipt of the final meeting minutes. During the meeting and confirmed in the final meeting minutes, the FDA stated that our “</w:t>
      </w:r>
      <w:r>
        <w:rPr>
          <w:rFonts w:ascii="Times New Roman" w:hAnsi="Times New Roman"/>
          <w:i/>
          <w:caps w:val="false"/>
          <w:smallCaps w:val="false"/>
          <w:sz w:val="20"/>
        </w:rPr>
        <w:t>proposed data may be capable of supporting the submission and review of an [NDA] under the accelerated approval pathway for the treatment of ALS</w:t>
      </w:r>
      <w:r>
        <w:rPr>
          <w:rFonts w:ascii="Times New Roman" w:hAnsi="Times New Roman"/>
          <w:caps w:val="false"/>
          <w:smallCaps w:val="false"/>
          <w:sz w:val="20"/>
        </w:rPr>
        <w:t>.” The FDA reminded the Company that the submission should demonstrate the effectiveness of an effect of CNM-Au8 on NfL and show that the magnitude of change in NfL is reasonably likely to predict clinical benefits in patients with ALS. We intend to submit our NDA in the third quarter of 2026, which will remain a matter of FDA review.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FDA also noted that “</w:t>
      </w:r>
      <w:r>
        <w:rPr>
          <w:rFonts w:ascii="Times New Roman" w:hAnsi="Times New Roman"/>
          <w:i/>
          <w:caps w:val="false"/>
          <w:smallCaps w:val="false"/>
          <w:sz w:val="20"/>
        </w:rPr>
        <w:t>NfL could potentially serve as a reasonably likely surrogate endpoint to support (an) accelerated approval</w:t>
      </w:r>
      <w:r>
        <w:rPr>
          <w:rFonts w:ascii="Times New Roman" w:hAnsi="Times New Roman"/>
          <w:caps w:val="false"/>
          <w:smallCaps w:val="false"/>
          <w:sz w:val="20"/>
        </w:rPr>
        <w:t>.” This submission would occur under the Subpart H accelerated approval pathway (21 CFR 314.510) in ALS. The FDA has also requested that we provide additional information in our NDA, including to support a connection between the reported magnitude of reduction in NfL and clinical benefit, which we have prepared and will include in the submission.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planned NDA submission will be supported by NfL biomarker and clinical data from the Phase 2 HEALEY ALS Platform Trial and its open-label extension, as well as the Phase 2 RESCUE-ALS Trial, and the National Institutes of Health-sponsored expanded access protocol for CNM-Au8. Supporting data include reductions in plasma NfL associated with longer survival in the open-label extension and additional clinical outcomes. CNM-Au8 has previously received Orphan Drug Designation from the FDA for the treatment of ALS. We plan to initiate our Phase 3 RESTORE-ALS trial during the first quarter of 2027 and serving as the post-approval confirmatory study.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Multiple Sclerosis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met with the FDA in a Type B end of Phase 2 meeting during the third quarter of 2025 to review results from the Phase 2 VISIONARY-MS trial and discuss a planned Phase 3 study focusing on cognition improvement as an adjunct to standard-of-care MS therapies, addressing a critical unmet medical need for people struggling with MS. The FDA aligned with Clene acknowledging the limitations of the Expanded Disability Status Scale, a global measure of MS disease severity, and expressed openness to considering other potential primary endpoints, including cognition, to evaluate broader treatment effects. We plan to work closely with regulatory health authorities from the FDA, European Medicines Agency and other international regulatory bodies, MS experts, and patient representatives to determine the proper path to advance CNM-Au8 into Phase 3 and potential future approval. We also believe that once CNM-Au8 receives regulatory approval in another indication, licensing opportunities for the MS indication will improve.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chart below reflects the growing body of evidence for CSN therapeutics from our completed and ongoing clinical programs.</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9296400" cy="377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96400" cy="3771900"/>
                    </a:xfrm>
                    <a:prstGeom prst="rect">
                      <a:avLst/>
                    </a:prstGeom>
                  </pic:spPr>
                </pic:pic>
              </a:graphicData>
            </a:graphic>
          </wp:inline>
        </w:drawing>
      </w:r>
    </w:p>
    <w:p>
      <w:pPr>
        <w:pStyle w:val="TextBody"/>
        <w:bidi w:val="0"/>
        <w:jc w:val="center"/>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incurred a loss from operations of </w:t>
      </w:r>
      <w:bookmarkStart w:id="8" w:name="led401376F20248261727317434681"/>
      <w:bookmarkEnd w:id="8"/>
      <w:r>
        <w:rPr>
          <w:rFonts w:ascii="Times New Roman" w:hAnsi="Times New Roman"/>
          <w:caps w:val="false"/>
          <w:smallCaps w:val="false"/>
          <w:sz w:val="20"/>
        </w:rPr>
        <w:t>$23.1 million and </w:t>
      </w:r>
      <w:bookmarkStart w:id="9" w:name="led401376F20248261727317443674"/>
      <w:bookmarkEnd w:id="9"/>
      <w:r>
        <w:rPr>
          <w:rFonts w:ascii="Times New Roman" w:hAnsi="Times New Roman"/>
          <w:caps w:val="false"/>
          <w:smallCaps w:val="false"/>
          <w:sz w:val="20"/>
        </w:rPr>
        <w:t>$33.1 million for the </w:t>
      </w:r>
      <w:bookmarkStart w:id="10" w:name="led401376F202511311767145475281"/>
      <w:bookmarkEnd w:id="10"/>
      <w:r>
        <w:rPr>
          <w:rFonts w:ascii="Times New Roman" w:hAnsi="Times New Roman"/>
          <w:caps w:val="false"/>
          <w:smallCaps w:val="false"/>
          <w:sz w:val="20"/>
        </w:rPr>
        <w:t>years ended December 31, </w:t>
      </w:r>
      <w:bookmarkStart w:id="11" w:name="led401376F20248261727317459701"/>
      <w:bookmarkEnd w:id="11"/>
      <w:r>
        <w:rPr>
          <w:rFonts w:ascii="Times New Roman" w:hAnsi="Times New Roman"/>
          <w:caps w:val="false"/>
          <w:smallCaps w:val="false"/>
          <w:sz w:val="20"/>
        </w:rPr>
        <w:t xml:space="preserve">2025 and </w:t>
      </w:r>
      <w:bookmarkStart w:id="12" w:name="led401376F20248261727317464771"/>
      <w:bookmarkEnd w:id="12"/>
      <w:r>
        <w:rPr>
          <w:rFonts w:ascii="Times New Roman" w:hAnsi="Times New Roman"/>
          <w:caps w:val="false"/>
          <w:smallCaps w:val="false"/>
          <w:sz w:val="20"/>
        </w:rPr>
        <w:t>2024, respectively. Our accumulated deficit was </w:t>
      </w:r>
      <w:bookmarkStart w:id="13" w:name="led401376F20248261727317475816"/>
      <w:bookmarkEnd w:id="13"/>
      <w:r>
        <w:rPr>
          <w:rFonts w:ascii="Times New Roman" w:hAnsi="Times New Roman"/>
          <w:caps w:val="false"/>
          <w:smallCaps w:val="false"/>
          <w:sz w:val="20"/>
        </w:rPr>
        <w:t>$308.3 million and </w:t>
      </w:r>
      <w:bookmarkStart w:id="14" w:name="led401376F20248261727317480946"/>
      <w:bookmarkEnd w:id="14"/>
      <w:r>
        <w:rPr>
          <w:rFonts w:ascii="Times New Roman" w:hAnsi="Times New Roman"/>
          <w:caps w:val="false"/>
          <w:smallCaps w:val="false"/>
          <w:sz w:val="20"/>
        </w:rPr>
        <w:t>$282.1 million as of </w:t>
      </w:r>
      <w:bookmarkStart w:id="15" w:name="led401376F202482617273174877731"/>
      <w:bookmarkEnd w:id="15"/>
      <w:r>
        <w:rPr>
          <w:rFonts w:ascii="Times New Roman" w:hAnsi="Times New Roman"/>
          <w:caps w:val="false"/>
          <w:smallCaps w:val="false"/>
          <w:sz w:val="20"/>
        </w:rPr>
        <w:t xml:space="preserve">December 31, 2025 and </w:t>
      </w:r>
      <w:bookmarkStart w:id="16" w:name="led401376F202632017766998921891"/>
      <w:bookmarkEnd w:id="16"/>
      <w:r>
        <w:rPr>
          <w:rFonts w:ascii="Times New Roman" w:hAnsi="Times New Roman"/>
          <w:caps w:val="false"/>
          <w:smallCaps w:val="false"/>
          <w:sz w:val="20"/>
        </w:rPr>
        <w:t>2024, respectively. Our cash and cash equivalents totaled </w:t>
      </w:r>
      <w:bookmarkStart w:id="17" w:name="led401376F20248261727317523603"/>
      <w:bookmarkEnd w:id="17"/>
      <w:r>
        <w:rPr>
          <w:rFonts w:ascii="Times New Roman" w:hAnsi="Times New Roman"/>
          <w:caps w:val="false"/>
          <w:smallCaps w:val="false"/>
          <w:sz w:val="20"/>
        </w:rPr>
        <w:t>$5.2 million and </w:t>
      </w:r>
      <w:bookmarkStart w:id="18" w:name="led401376F20248261727317513356"/>
      <w:bookmarkEnd w:id="18"/>
      <w:r>
        <w:rPr>
          <w:rFonts w:ascii="Times New Roman" w:hAnsi="Times New Roman"/>
          <w:caps w:val="false"/>
          <w:smallCaps w:val="false"/>
          <w:sz w:val="20"/>
        </w:rPr>
        <w:t>$12.2 million as of </w:t>
      </w:r>
      <w:bookmarkStart w:id="19" w:name="led401376F20248261727317487773"/>
      <w:bookmarkEnd w:id="19"/>
      <w:r>
        <w:rPr>
          <w:rFonts w:ascii="Times New Roman" w:hAnsi="Times New Roman"/>
          <w:caps w:val="false"/>
          <w:smallCaps w:val="false"/>
          <w:sz w:val="20"/>
        </w:rPr>
        <w:t xml:space="preserve">December 31, 2025 and </w:t>
      </w:r>
      <w:bookmarkStart w:id="20" w:name="led401376F20263201776699892189"/>
      <w:bookmarkEnd w:id="20"/>
      <w:r>
        <w:rPr>
          <w:rFonts w:ascii="Times New Roman" w:hAnsi="Times New Roman"/>
          <w:caps w:val="false"/>
          <w:smallCaps w:val="false"/>
          <w:sz w:val="20"/>
        </w:rPr>
        <w:t>2024, respectively, and net cash used in operating activities was </w:t>
      </w:r>
      <w:bookmarkStart w:id="21" w:name="led401376F20248261727317546222"/>
      <w:bookmarkEnd w:id="21"/>
      <w:r>
        <w:rPr>
          <w:rFonts w:ascii="Times New Roman" w:hAnsi="Times New Roman"/>
          <w:caps w:val="false"/>
          <w:smallCaps w:val="false"/>
          <w:sz w:val="20"/>
        </w:rPr>
        <w:t>$18.5 million and </w:t>
      </w:r>
      <w:bookmarkStart w:id="22" w:name="led401376F20248261727317570629"/>
      <w:bookmarkEnd w:id="22"/>
      <w:r>
        <w:rPr>
          <w:rFonts w:ascii="Times New Roman" w:hAnsi="Times New Roman"/>
          <w:caps w:val="false"/>
          <w:smallCaps w:val="false"/>
          <w:sz w:val="20"/>
        </w:rPr>
        <w:t>$21.3 million for the </w:t>
      </w:r>
      <w:bookmarkStart w:id="23" w:name="led401376F202511311767145487533"/>
      <w:bookmarkEnd w:id="23"/>
      <w:r>
        <w:rPr>
          <w:rFonts w:ascii="Times New Roman" w:hAnsi="Times New Roman"/>
          <w:caps w:val="false"/>
          <w:smallCaps w:val="false"/>
          <w:sz w:val="20"/>
        </w:rPr>
        <w:t>years ended December 31, </w:t>
      </w:r>
      <w:bookmarkStart w:id="24" w:name="led401376F20248261727317596378"/>
      <w:bookmarkEnd w:id="24"/>
      <w:r>
        <w:rPr>
          <w:rFonts w:ascii="Times New Roman" w:hAnsi="Times New Roman"/>
          <w:caps w:val="false"/>
          <w:smallCaps w:val="false"/>
          <w:sz w:val="20"/>
        </w:rPr>
        <w:t xml:space="preserve">2025 and </w:t>
      </w:r>
      <w:bookmarkStart w:id="25" w:name="led401376F20248261727317601912"/>
      <w:bookmarkEnd w:id="25"/>
      <w:r>
        <w:rPr>
          <w:rFonts w:ascii="Times New Roman" w:hAnsi="Times New Roman"/>
          <w:caps w:val="false"/>
          <w:smallCaps w:val="false"/>
          <w:sz w:val="20"/>
        </w:rPr>
        <w:t>2024,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issued in December 2024 (the “2024 SSCP Notes”), we are required to maintain unrestricted cash and cash equivalents of at least $2.0 million to avoid acceleration of the full balance of the 2024 SSCP Notes. These conditions raise substantial doubt about the Company’s ability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To mitigate our funding needs, we plan to raise additional funding, including exploring equity financing and offerings, debt financing, licensing or collaboration arrangements with third parties, as well as utilizing our existing at-the-market facility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w:t>
      </w:r>
      <w:bookmarkStart w:id="26" w:name="led401376F202482617273178406322"/>
      <w:bookmarkEnd w:id="26"/>
      <w:r>
        <w:rPr>
          <w:rFonts w:ascii="Times New Roman" w:hAnsi="Times New Roman"/>
          <w:caps w:val="false"/>
          <w:smallCaps w:val="false"/>
          <w:sz w:val="20"/>
        </w:rPr>
        <w:t>December 31, 2025, we generated $10.6 million of gross proceeds from our equity distribution agreement and $1.5 million from the issuance of senior secured convertible promissory notes. Subsequent to </w:t>
      </w:r>
      <w:bookmarkStart w:id="27" w:name="led401376F202482617273178406321"/>
      <w:bookmarkEnd w:id="27"/>
      <w:r>
        <w:rPr>
          <w:rFonts w:ascii="Times New Roman" w:hAnsi="Times New Roman"/>
          <w:caps w:val="false"/>
          <w:smallCaps w:val="false"/>
          <w:sz w:val="20"/>
        </w:rPr>
        <w:t>December 31, 2025, we generated $6.0 million of gross proceeds from the issuance of common stock and warrants in a registered direct offering in January 2026. While we have implemented cost-saving initiatives, including delaying and reducing certain research and development programs and commercialization efforts, reducing employee compensation, and eliminating certain staff positions, we have concluded that our plans do not alleviate the substantial doubt about our ability to continue as a going concern beyond one year from the date the consolidated financial statements for the year ended </w:t>
      </w:r>
      <w:bookmarkStart w:id="28" w:name="led401376F20248261727317840632"/>
      <w:bookmarkEnd w:id="28"/>
      <w:r>
        <w:rPr>
          <w:rFonts w:ascii="Times New Roman" w:hAnsi="Times New Roman"/>
          <w:caps w:val="false"/>
          <w:smallCaps w:val="false"/>
          <w:sz w:val="20"/>
        </w:rPr>
        <w:t>December 31, 2025, were issued.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financial statements incorporated herein by reference have been prepared assuming we will continue as a going concern, which contemplates the realization of assets and satisfaction of liabilities in the normal course of business. As a result, our financial statements incorporated herein by reference do not include any adjustments relating to the recoverability and classification of assets and their carrying amounts, or the amounts and classification of liabilities that may result should we be unable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Smaller Reporting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because the market value of our stock held by non-affiliates was less than $250 million as of June 30, 2025.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History and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Clene Nanomedicine, Inc. (“Clene Nanomedicine”) became a public company on December 30, 2020 (the “Closing Date”) when it completed a reverse recapitalization (the “Reverse Recapitalization”) with Tottenham Acquisition I Limited (“Tottenham”), and with Tottenham’s wholly-owned subsidiary and our predecessor, Chelsea Worldwide Inc., and Creative Worldwide Inc., a wholly-owned subsidiary of Chelsea Worldwide Inc. On the Closing Date, Chelsea Worldwide Inc. changed its name to Clene Inc. and listed its shares of common stock, par value $0.0001 per share (“common stock”), on Nasdaq under the symbol “CLNN.”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effected a 1-for-20 reverse stock split of our common stock beginning with the opening of trading on July 11, 2024 (the “Reverse Stock Split”). As a result, every 20 shares of our common stock issued and outstanding were automatically combined and converted into 1 validly issued, fully paid and non-assessable share. All outstanding stock options, warrants, rights to restricted stock awards, convertible debt, and contingent earn-out shares entitling their holders to purchase or receive shares of our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this prospectus supplement, including for periods ending prior to July 11, 2024, has been adjusted to reflect the 1-for-20 Reverse Stock Split.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mailing address for our principal executive office is 6550 South Millrock Drive, Suite G50, Salt Lake City, Utah 84121, and our telephone number is (801) 676-9695. Our website address is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9" w:name="S_OFFERING"/>
      <w:bookmarkEnd w:id="29"/>
      <w:r>
        <w:rPr>
          <w:rFonts w:ascii="Times New Roman;Times;serif" w:hAnsi="Times New Roman;Times;serif"/>
          <w:b/>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5"/>
        <w:gridCol w:w="60"/>
        <w:gridCol w:w="8430"/>
      </w:tblGrid>
      <w:tr>
        <w:trPr/>
        <w:tc>
          <w:tcPr>
            <w:tcW w:w="1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common stock being offered by us</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are offering               shares of our common stock at an offering price of $               per share.</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common stock to be outstanding immediately after this offering</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shares of our common stock issued pursuant to this prospectus supplement.</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both"/>
              <w:rPr/>
            </w:pPr>
            <w:r>
              <w:rPr/>
              <w:t>Use of proceeds</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We expect to use the net proceeds from the offerings, if any, together with our existing cash, for expenses primarily related to general corporate purposes, including to fund the clinical development of our lead drug candidate, CNM-Au8, including the conduct of and continued access to CNM-Au8 in our ongoing and planned clinical trials, including expanded access protocols; potential future commercialization efforts, manufacturing expansion and future regulatory activities including preparation of regulatory filings; and for additional early-stage research and development activities. See “</w:t>
            </w:r>
            <w:r>
              <w:rPr>
                <w:rFonts w:ascii="Times New Roman" w:hAnsi="Times New Roman"/>
                <w:i/>
                <w:sz w:val="20"/>
              </w:rPr>
              <w:t>Use of Proceeds</w:t>
            </w:r>
            <w:r>
              <w:rPr>
                <w:rFonts w:ascii="Times New Roman" w:hAnsi="Times New Roman"/>
                <w:sz w:val="20"/>
              </w:rPr>
              <w:t>” for additional information.</w:t>
            </w:r>
          </w:p>
        </w:tc>
      </w:tr>
      <w:tr>
        <w:trPr/>
        <w:tc>
          <w:tcPr>
            <w:tcW w:w="1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283"/>
              <w:jc w:val="both"/>
              <w:rPr/>
            </w:pPr>
            <w:r>
              <w:rPr/>
              <w:t> </w:t>
            </w:r>
          </w:p>
        </w:tc>
      </w:tr>
      <w:tr>
        <w:trPr/>
        <w:tc>
          <w:tcPr>
            <w:tcW w:w="1715" w:type="dxa"/>
            <w:tcBorders/>
            <w:vAlign w:val="center"/>
          </w:tcPr>
          <w:p>
            <w:pPr>
              <w:pStyle w:val="TableContents"/>
              <w:bidi w:val="0"/>
              <w:spacing w:before="0" w:after="283"/>
              <w:jc w:val="both"/>
              <w:rPr/>
            </w:pPr>
            <w:r>
              <w:rPr/>
              <w:t>Risk factors</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283"/>
              <w:jc w:val="both"/>
              <w:rPr/>
            </w:pPr>
            <w:r>
              <w:rPr/>
              <w:t>Any investment in the securities offered hereby is speculative and involves a high degree of risk. You should read carefully the information set forth in “</w:t>
            </w:r>
            <w:r>
              <w:rPr>
                <w:i/>
              </w:rPr>
              <w:t>Risk Factors</w:t>
            </w:r>
            <w:r>
              <w:rPr/>
              <w:t>” in this prospectus supplement and the accompanying base prospectus, together with other information included elsewhere in this prospectus supplement, or incorporated by reference into this prospectus supplement, for a discussion of factors that you should consider before deciding to invest in our securities.</w:t>
            </w:r>
          </w:p>
        </w:tc>
      </w:tr>
      <w:tr>
        <w:trPr/>
        <w:tc>
          <w:tcPr>
            <w:tcW w:w="17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283"/>
              <w:jc w:val="both"/>
              <w:rPr/>
            </w:pPr>
            <w:r>
              <w:rPr/>
              <w:t> </w:t>
            </w:r>
          </w:p>
        </w:tc>
      </w:tr>
      <w:tr>
        <w:trPr/>
        <w:tc>
          <w:tcPr>
            <w:tcW w:w="1715" w:type="dxa"/>
            <w:tcBorders/>
            <w:vAlign w:val="center"/>
          </w:tcPr>
          <w:p>
            <w:pPr>
              <w:pStyle w:val="TableContents"/>
              <w:bidi w:val="0"/>
              <w:spacing w:before="0" w:after="283"/>
              <w:jc w:val="both"/>
              <w:rPr/>
            </w:pPr>
            <w:r>
              <w:rPr/>
              <w:t>Nasdaq Capital Market symbol</w:t>
            </w:r>
          </w:p>
        </w:tc>
        <w:tc>
          <w:tcPr>
            <w:tcW w:w="60" w:type="dxa"/>
            <w:tcBorders/>
            <w:vAlign w:val="center"/>
          </w:tcPr>
          <w:p>
            <w:pPr>
              <w:pStyle w:val="TableContents"/>
              <w:bidi w:val="0"/>
              <w:spacing w:before="0" w:after="283"/>
              <w:jc w:val="both"/>
              <w:rPr/>
            </w:pPr>
            <w:r>
              <w:rPr/>
              <w:t> </w:t>
            </w:r>
          </w:p>
        </w:tc>
        <w:tc>
          <w:tcPr>
            <w:tcW w:w="843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CLNN”</w:t>
            </w:r>
          </w:p>
        </w:tc>
      </w:tr>
    </w:tbl>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The number of shares of our common stock outstanding immediately after this offering is based on </w:t>
      </w:r>
      <w:bookmarkStart w:id="30" w:name="led608466F20248261727369875841"/>
      <w:bookmarkEnd w:id="30"/>
      <w:r>
        <w:rPr>
          <w:rFonts w:ascii="Times New Roman" w:hAnsi="Times New Roman"/>
          <w:caps w:val="false"/>
          <w:smallCaps w:val="false"/>
          <w:sz w:val="20"/>
        </w:rPr>
        <w:t>11,778,307 shares of common stock outstanding as of </w:t>
      </w:r>
      <w:bookmarkStart w:id="31" w:name="led608466F2026441777916055386"/>
      <w:bookmarkEnd w:id="31"/>
      <w:r>
        <w:rPr>
          <w:rFonts w:ascii="Times New Roman" w:hAnsi="Times New Roman"/>
          <w:caps w:val="false"/>
          <w:smallCaps w:val="false"/>
          <w:sz w:val="20"/>
        </w:rPr>
        <w:t>April 30, 2026, and excludes the following:</w:t>
      </w:r>
    </w:p>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32" w:name="led608466F20248261727369905383"/>
            <w:bookmarkEnd w:id="32"/>
            <w:r>
              <w:rPr>
                <w:rFonts w:ascii="Times New Roman;Times;serif" w:hAnsi="Times New Roman;Times;serif"/>
                <w:caps w:val="false"/>
                <w:smallCaps w:val="false"/>
                <w:sz w:val="20"/>
              </w:rPr>
              <w:t>3,115,544 shares of common stock issuable upon exercise of stock options outstanding as of </w:t>
            </w:r>
            <w:bookmarkStart w:id="33" w:name="led608466F2026441777916059682"/>
            <w:bookmarkEnd w:id="33"/>
            <w:r>
              <w:rPr>
                <w:rFonts w:ascii="Times New Roman;Times;serif" w:hAnsi="Times New Roman;Times;serif"/>
                <w:caps w:val="false"/>
                <w:smallCaps w:val="false"/>
                <w:sz w:val="20"/>
              </w:rPr>
              <w:t xml:space="preserve">April 30, 2026 with a weighted-average exercise price of </w:t>
            </w:r>
            <w:bookmarkStart w:id="34" w:name="led608466F20248261727369915732"/>
            <w:bookmarkEnd w:id="34"/>
            <w:r>
              <w:rPr>
                <w:rFonts w:ascii="Times New Roman;Times;serif" w:hAnsi="Times New Roman;Times;serif"/>
                <w:caps w:val="false"/>
                <w:smallCaps w:val="false"/>
                <w:sz w:val="20"/>
              </w:rPr>
              <w:t>$19.15 per share;</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70"/>
        <w:gridCol w:w="85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35" w:name="led608466F20248261727369923301"/>
            <w:bookmarkEnd w:id="35"/>
            <w:r>
              <w:rPr>
                <w:rFonts w:ascii="Times New Roman;Times;serif" w:hAnsi="Times New Roman;Times;serif"/>
                <w:caps w:val="false"/>
                <w:smallCaps w:val="false"/>
                <w:sz w:val="20"/>
              </w:rPr>
              <w:t xml:space="preserve">197,177 shares of common stock reserved for future grant under our 2020 Stock Plan as of </w:t>
            </w:r>
            <w:bookmarkStart w:id="36" w:name="led608466F2026441777916064290"/>
            <w:bookmarkEnd w:id="36"/>
            <w:r>
              <w:rPr>
                <w:rFonts w:ascii="Times New Roman;Times;serif" w:hAnsi="Times New Roman;Times;serif"/>
                <w:caps w:val="false"/>
                <w:smallCaps w:val="false"/>
                <w:sz w:val="20"/>
              </w:rPr>
              <w:t>April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37" w:name="led608466F20248261727369934679"/>
            <w:bookmarkEnd w:id="37"/>
            <w:r>
              <w:rPr>
                <w:rFonts w:ascii="Times New Roman;Times;serif" w:hAnsi="Times New Roman;Times;serif"/>
                <w:caps w:val="false"/>
                <w:smallCaps w:val="false"/>
                <w:sz w:val="20"/>
              </w:rPr>
              <w:t>6,696,914 shares of common stock issuable upon exercise of warrants outstanding as of </w:t>
            </w:r>
            <w:bookmarkStart w:id="38" w:name="led608466F2026441777916069715"/>
            <w:bookmarkEnd w:id="38"/>
            <w:r>
              <w:rPr>
                <w:rFonts w:ascii="Times New Roman;Times;serif" w:hAnsi="Times New Roman;Times;serif"/>
                <w:caps w:val="false"/>
                <w:smallCaps w:val="false"/>
                <w:sz w:val="20"/>
              </w:rPr>
              <w:t xml:space="preserve">April 30, 2026 with a weighted-average exercise price of </w:t>
            </w:r>
            <w:bookmarkStart w:id="39" w:name="led608466F2026021767319851894"/>
            <w:bookmarkEnd w:id="39"/>
            <w:r>
              <w:rPr>
                <w:rFonts w:ascii="Times New Roman;Times;serif" w:hAnsi="Times New Roman;Times;serif"/>
                <w:caps w:val="false"/>
                <w:smallCaps w:val="false"/>
                <w:sz w:val="20"/>
              </w:rPr>
              <w:t>$20.63 per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up to </w:t>
            </w:r>
            <w:bookmarkStart w:id="40" w:name="led608466F20248261727369985918"/>
            <w:bookmarkEnd w:id="40"/>
            <w:r>
              <w:rPr>
                <w:rFonts w:ascii="Times New Roman;Times;serif" w:hAnsi="Times New Roman;Times;serif"/>
                <w:caps w:val="false"/>
                <w:smallCaps w:val="false"/>
                <w:sz w:val="20"/>
              </w:rPr>
              <w:t xml:space="preserve">1,556,523 shares of common stock issuable upon conversion of our convertible notes payable outstanding as of </w:t>
            </w:r>
            <w:bookmarkStart w:id="41" w:name="led608466F2026441777916074644"/>
            <w:bookmarkEnd w:id="41"/>
            <w:r>
              <w:rPr>
                <w:rFonts w:ascii="Times New Roman;Times;serif" w:hAnsi="Times New Roman;Times;serif"/>
                <w:caps w:val="false"/>
                <w:smallCaps w:val="false"/>
                <w:sz w:val="20"/>
              </w:rPr>
              <w:t>April 30, 2026.</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Except as otherwise indicated, all information in this prospectus supplement assumes no exercise of the outstanding options or warrants or conversion of convertible notes payable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2" w:name="S_RISK_FACTORS"/>
      <w:bookmarkEnd w:id="42"/>
      <w:r>
        <w:rPr>
          <w:rFonts w:ascii="Times New Roman;Times;serif" w:hAnsi="Times New Roman;Times;serif"/>
          <w:b/>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Investing in our securities involves a high degree of risk. Before deciding whether to invest in our securities, you should carefully consider the risks and uncertainties described below and under </w:t>
      </w:r>
      <w:r>
        <w:rPr>
          <w:rFonts w:ascii="Times New Roman" w:hAnsi="Times New Roman"/>
          <w:caps w:val="false"/>
          <w:smallCaps w:val="false"/>
          <w:sz w:val="20"/>
        </w:rPr>
        <w:t xml:space="preserve">“Risk Factors” </w:t>
      </w:r>
      <w:r>
        <w:rPr>
          <w:rFonts w:ascii="Times New Roman" w:hAnsi="Times New Roman"/>
          <w:i/>
          <w:caps w:val="false"/>
          <w:smallCaps w:val="false"/>
          <w:sz w:val="20"/>
        </w:rPr>
        <w:t xml:space="preserve">in our most recent Annual Report on Form 10-K and any subsequent Quarterly Reports on Form 10-Q, which are incorporated herein by reference, together with the information contained in this prospectus supplement, the accompanying base prospectus, and any other information that has been or will be incorporated herein or therein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supplement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“Cautionary Note Regarding Forward-Looking Statements</w:t>
      </w:r>
      <w:r>
        <w:rPr>
          <w:rFonts w:ascii="Times New Roman" w:hAnsi="Times New Roman"/>
          <w:i/>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Common Stock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market for our common stock may not provide investors with adequate liquidity.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is currently listed on Nasdaq. However, the trading market for our common stock may not be maintained and may not provide investors with adequate liquidity. The liquidity of the market for our common stock depends on a number of factors, including prevailing interest rates, our financial condition and operating results, the number of holders of our common stock, the market for similar securities and the interest of securities dealers in making a market in our common stock. We cannot predict the extent to which investor interest in our Company will maintain the trading market in our common stock, or how liquid that market will be. If an active market is not maintained, investors may have difficulty selling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pursuant to this prospectus supplement and/or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management will have broad discretion over the use of the net proceeds, if any, we receive in this offering and may not apply the proceeds in ways that increase the value of your investment,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management will have broad discretion to use the net proceeds, if any, payable to us from this offering and you will be relying on the judgment of our management regarding the application of these net proceeds. Our management might not apply the net proceeds, if any, from this offering in ways that increase the value of your investment. Until we use the net proceeds, if any, payable to us from this offering, we plan to invest them, and these investments may not yield a favorable rate of return. If we do not invest or apply the net proceeds, if any, from this offering in ways that enhance stockholder value, we may fail to achieve expected financial results, which could cause the market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you purchase our common stock in this offering, you will incur immediate and substantial dilution in the book value of your shares.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Investors purchasing shares of our common stock in this offering will pay a price per share that substantially exceeds the pro forma as adjusted net tangible book value per share of our common stock. As a result, investors purchasing shares of our common stock in this offering will experience immediate dilution of $               per share, representing the difference between the public offering price of $               per share and our pro forma as adjusted net tangible book value per share as of </w:t>
      </w:r>
      <w:bookmarkStart w:id="43" w:name="led401375F20248261727372180805"/>
      <w:bookmarkEnd w:id="43"/>
      <w:r>
        <w:rPr>
          <w:rFonts w:ascii="Times New Roman" w:hAnsi="Times New Roman"/>
          <w:caps w:val="false"/>
          <w:smallCaps w:val="false"/>
          <w:sz w:val="20"/>
        </w:rPr>
        <w:t>December 31, 2025. To the extent outstanding options or warrants to purchase our common stock are exercised, you may experience further dilution. For more information on the dilution you may experience as a result of investing in this offering, see the section of this prospectus supplement entitled “</w:t>
      </w:r>
      <w:r>
        <w:rPr>
          <w:rFonts w:ascii="Times New Roman" w:hAnsi="Times New Roman"/>
          <w:i/>
          <w:caps w:val="false"/>
          <w:smallCaps w:val="false"/>
          <w:sz w:val="20"/>
        </w:rPr>
        <w:t>Dilution</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The price per share at which we sell additional shares of our common stock, or securities convertible or exchangeable into common stock, in future transactions may be lower than the price per share paid by investors in this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the holders of our outstanding the debt would have a claim to our assets that would be prior to the rights of stockholders until the debt is paid. If the issuance of new securities results in diminished rights to holders of our common stock, the market price of our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Preclinical and clinical development of drug candidates involves a lengthy and expensive process with an uncertain outcome, and we are unable to predict if or when we will successfully develop or commercialize any of our drug candidates.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There is a risk of failure for each of our drug candidates. Before obtaining regulatory approval for the sale of any of our drug candidates, we must complete preclinical studies and then conduct extensive clinical trials to demonstrate the safety and efficacy of our drug candidates in humans. It is difficult to predict when or if any of our drug candidates will prove effective and safe in humans or receive regulatory approval. Our internal discovery programs for some of our drug candidates are at an early stage of development and will require significant investment and regulatory approvals prior to commercialization. We are not permitted to market or promote any of our drug candidates until we receive regulatory approval from the FDA, China’s National Medical Products Administration (“NMPA”), the Australian Therapeutics Goods Administration (“TGA”), Health Canada, the European Medicines Agency (“EMA”) or comparable regulatory authorities, and we may never receive such regulatory approval for any of our drug candidates.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could encounter regulatory delays if a clinical trial is suspended or terminated by us or, as applicable, by the institutional review boards” (“IRBs”) or the ethics committees of the institutions in which such trials are being conducted, by the Data and Safety Monitoring Board (“DSMB”), which is an independent group of experts that is formed to monitor clinical trials while ongoing, or by the FDA, NMPA, TGA, Health Canada, EMA or other regulatory authorities. Such authorities may impose a suspension or termination due to a number of factors, including: (1) a failure to conduct the clinical trial in accordance with regulatory requirements or the applicable clinical protocols, (2) inspection of the clinical trial operations or trial site by the FDA, NMPA, TGA, Health Canada, EMA or other regulatory authorities that results in the imposition of a clinical hold, unforeseen safety issues or adverse side effects, (3) failure to demonstrate a benefit from using a drug, (4) changes in governmental regulations or administrative actions, or (5) lack of adequate funding to continue the clinical trial. Many of the factors that cause a delay in the commencement or completion of clinical trials may also ultimately lead to the denial of regulatory approval of our drug candidates. Further, the FDA, NMPA, TGA, Health Canada, EMA or other regulatory authorities may disagree with our clinical trial design or our interpretation of data from clinical trials, or may change the requirements for approval even after any regulatory authority has reviewed and commented on the design for our clinical trials.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Preclinical studies and clinical trials are expensive, difficult to design and implement, and can take many years to complete. Moreover, preclinical and clinical data are often susceptible to varying interpretations and analysis, and many companies that have believed their drug candidates performed satisfactorily in preclinical studies and clinical trials have nonetheless failed to obtain regulatory approval of their drug candidates. Future clinical trials of our drug candidates may not be successful.</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Commencement of clinical trials is subject to finalizing the trial design based on ongoing discussions with the FDA, NMPA, TGA, Health Canada, EMA and/or other regulatory authorities. The FDA, NMPA, TGA, Health Canada, EMA and other regulatory authorities could change their position on the acceptability of trial designs or clinical endpoints, which could require us to complete additional clinical trials or impose approval conditions that we do not currently expect. Successful completion of our clinical trials is a prerequisite to submitting an NDA (or analogous filing) to the FDA, NMPA, TGA, Health Canada, EMA and/or other regulatory authorities for each drug candidate and, consequently, the ultimate approval and commercial marketing of our drug candidates. We do not know whether the clinical trials for our drug candidates will be completed on schedule, if at all.</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Results of earlier clinical trials may not be predictive of results of later-stage clinical trials.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results of preclinical studies and early clinical trials of our drug candidates may not be predictive of the results of later-stage clinical trials. Drug candidates in later stages of clinical trials may fail to show the desired safety and efficacy traits despite having progressed through preclinical studies and initial clinical trials. Future clinical trial results may not be favorable for these and other reasons.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some cases, there can be significant variability in the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rate of dropout among clinical trial participants. As drug candidates are developed through preclinical to early- to late-stage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In the case of any trials we conduct, results may differ from earlier trials due to the larger number of clinical trial sites and additional countries and languages involved in such trials. Any of these changes could make the results of planned clinical trials or other future clinical trials we may initiate less predictable and could cause our drug candidates to perform differently, which could delay completion of clinical trials, delay approval of our drug candidates, and/or jeopardize our ability to commence commercialization of our drug candidates.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Clinical trials of our drug candidates may fail to demonstrate safety and efficacy to the satisfaction of regulatory authorities, or may not otherwise produce positive results, which may cause us to incur additional costs or experience delays in completing, or ultimately be unable to complete, the development and commercialization of our drug candidates.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Before obtaining regulatory approval for the sale of our drug candidates, we must conduct extensive clinical trials to demonstrate the safety and efficacy of our drug candidates in humans. We may experience numerous unexpected events during, or as a result of, clinical trials that could delay or prevent us from receiving regulatory approval or commercializing our drug candidates, including:</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regulators, IRBs, or human research ethics committees (“HRECs”) may not authorize us or our investigators to commence a clinical trial or conduct a clinical trial at a prospective trial site;</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inability to reach agreements on acceptable terms with prospective contract research organizations (“CROs”), clinical trial vendors, and trial sites, the terms of which can be subject to extensive negotiation and may vary significantly among different CROs and trial sites;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manufacturing issues, including problems with manufacturing, supply quality, compliance with Good Manufacturing Processes, or obtaining from third parties sufficient quantities of a drug candidate for use in a clinical trial;</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clinical trials of our drug candidates may produce negative or inconclusive results, and we may decide, or regulators may require us, to conduct additional clinical trials or abandon drug development programs;</w:t>
            </w:r>
          </w:p>
        </w:tc>
      </w:tr>
    </w:tbl>
    <w:p>
      <w:pPr>
        <w:pStyle w:val="TextBody"/>
        <w:bidi w:val="0"/>
        <w:spacing w:before="0" w:after="0"/>
        <w:ind w:left="0" w:right="0" w:firstLine="40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170"/>
        <w:gridCol w:w="8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patients required for clinical trials of our drug candidates may be larger than we anticipate;</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third-party contractors, including clinical investigators, may fail to comply with regulatory requirements or meet their contractual obligations to us in a timely manner, or at all;</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not investigate, may not be able to license, or may be unable to properly conduct companion diagnostic tests to identify patients who are likely to benefit from treatment with our drug candidates;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might have to suspend or terminate clinical trials of our drug candidates for various reasons, including a finding of a lack of clinical response or other unexpected characteristics or a finding that participants are being exposed to unacceptable health risks;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regulators, IRBs or HRECs may require that we or our investigators suspend or terminate clinical research or not rely on the results of clinical research for various reasons, including non-compliance with regulatory requirements;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6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cost of clinical trials of our drug candidates may be greater than we anticipate;</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supply or quality of our drug candidates or other materials necessary to conduct clinical trials of our drug candidates may be insufficient or inadequate;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drug candidates may have undesirable side effects or unexpected characteristics, causing us or our investigators, regulators, IRBs or ethics committees to suspend or terminate the clinical trials, or reports may arise from preclinical studies or clinical trials of other therapies that raise safety or efficacy concerns about our drug candidates.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 (i) be delayed in obtaining regulatory approval for our drug candidates; (ii) not obtain regulatory approval at all; (iii) obtain approval for indications that are not as broad as intended; (iv) have the drug removed from the market after obtaining regulatory approval; (v) be subject to additional post-market testing requirements; (vi) be subject to restrictions on how the drug is distributed or used; or (vii) be unable to obtain reimbursement for use of the drug.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Significant clinical trial delays may also increase our development costs and could shorten any periods during which we have the exclusive right to commercialize our drug candidates or allow our competitors to bring drugs to market before we do. This could impair our ability to commercialize our drug candidates and may harm our business and results of operations.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encounter difficulties enrolling patients in clinical trials, clinical trials of our drug candidates may be delayed or otherwise adversely affected.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timely completion of clinical trials in accordance with their protocols depends, among other things, on our ability to enroll a sufficient number of patients who remain in the trial until our conclusion. We may experience difficulties in patient enrollment in our clinical trials for a variety of reasons, including:</w:t>
      </w:r>
    </w:p>
    <w:p>
      <w:pPr>
        <w:pStyle w:val="TextBody"/>
        <w:bidi w:val="0"/>
        <w:spacing w:before="0" w:after="0"/>
        <w:ind w:left="0" w:right="0" w:firstLine="40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future health epidemics or pandemics;</w:t>
            </w:r>
          </w:p>
        </w:tc>
      </w:tr>
    </w:tbl>
    <w:p>
      <w:pPr>
        <w:pStyle w:val="TextBody"/>
        <w:bidi w:val="0"/>
        <w:spacing w:before="0" w:after="0"/>
        <w:ind w:left="0" w:right="0" w:firstLine="40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6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size and nature of the patient population;</w:t>
            </w:r>
          </w:p>
        </w:tc>
      </w:tr>
    </w:tbl>
    <w:p>
      <w:pPr>
        <w:pStyle w:val="TextBody"/>
        <w:bidi w:val="0"/>
        <w:spacing w:before="0" w:after="0"/>
        <w:ind w:left="0" w:right="0" w:firstLine="40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design of the trial, including the patient eligibility criteria defined in the protocol;</w:t>
            </w:r>
          </w:p>
        </w:tc>
      </w:tr>
    </w:tbl>
    <w:p>
      <w:pPr>
        <w:pStyle w:val="TextBody"/>
        <w:bidi w:val="0"/>
        <w:spacing w:before="0" w:after="0"/>
        <w:ind w:left="0" w:right="0" w:firstLine="40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size of the study population required for analysis of the trial’s primary endpoints;</w:t>
            </w:r>
          </w:p>
        </w:tc>
      </w:tr>
    </w:tbl>
    <w:p>
      <w:pPr>
        <w:pStyle w:val="TextBody"/>
        <w:bidi w:val="0"/>
        <w:spacing w:before="0" w:after="0"/>
        <w:ind w:left="0" w:right="0" w:firstLine="40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170"/>
        <w:gridCol w:w="3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0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proximity of patients to trial sites;</w:t>
            </w:r>
          </w:p>
        </w:tc>
      </w:tr>
    </w:tbl>
    <w:p>
      <w:pPr>
        <w:pStyle w:val="TextBody"/>
        <w:bidi w:val="0"/>
        <w:spacing w:before="0" w:after="0"/>
        <w:ind w:left="0" w:right="0" w:firstLine="40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60"/>
        <w:gridCol w:w="170"/>
        <w:gridCol w:w="7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recruit clinical trial investigators with the appropriate competencies and experience;</w:t>
            </w:r>
          </w:p>
        </w:tc>
      </w:tr>
    </w:tbl>
    <w:p>
      <w:pPr>
        <w:pStyle w:val="TextBody"/>
        <w:bidi w:val="0"/>
        <w:spacing w:before="0" w:after="0"/>
        <w:ind w:left="0" w:right="0" w:firstLine="40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7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competing clinical trials for similar therapies or other new therapeutics;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p>
        </w:tc>
      </w:tr>
    </w:tbl>
    <w:p>
      <w:pPr>
        <w:pStyle w:val="TextBody"/>
        <w:bidi w:val="0"/>
        <w:spacing w:before="0" w:after="0"/>
        <w:ind w:left="0" w:right="0" w:firstLine="40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obtain and maintain patient consents;</w:t>
            </w:r>
          </w:p>
        </w:tc>
      </w:tr>
    </w:tbl>
    <w:p>
      <w:pPr>
        <w:pStyle w:val="TextBody"/>
        <w:bidi w:val="0"/>
        <w:spacing w:before="0" w:after="0"/>
        <w:ind w:left="0" w:right="0" w:firstLine="40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7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risk that patients enrolled in clinical trials will not complete a clinical trial; and</w:t>
            </w:r>
          </w:p>
        </w:tc>
      </w:tr>
    </w:tbl>
    <w:p>
      <w:pPr>
        <w:pStyle w:val="TextBody"/>
        <w:bidi w:val="0"/>
        <w:spacing w:before="0" w:after="0"/>
        <w:ind w:left="0" w:right="0" w:firstLine="40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60"/>
        <w:gridCol w:w="170"/>
        <w:gridCol w:w="7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3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availability of approved therapies that are similar in mechanism to our drug candidates.</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Failure of our timely completion of clinical trials would delay the approval and commercialization of our drug candidates, impair the commercial performance of our drug candidates, and consequently harm our business and results of operations.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we are not able to obtain, or experience delays in obtaining, required regulatory approvals, we will not be able to commercialize our drug candidates, and our ability to generate revenue will be materially impaired.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Before obtaining regulatory approvals for the commercial sale of any drug candidate for a target indication, we must demonstrate in preclinical studies and well-controlled clinical trials, and, with respect to approval in the U.S., to the satisfaction of the FDA, that the drug candidate is safe and effective for use for that target indication and that the manufacturing facilities, processes and controls are adequate. In addition to preclinical and clinical data, the NDA must include significant information regarding the chemistry, manufacturing, and controls for the drug candidate. Obtaining approval of an NDA is a lengthy, expensive and uncertain process, and approval may not be obtained. After we submit an NDA to the FDA, the FDA decides whether to accept or reject the submission for filing. We cannot be certain that any submissions will be accepted for filing and review by the FDA.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not yet demonstrated an ability to file for or receive regulatory approval for our drug candidates. For example, we do not have experience in preparing the required materials for regulatory submission or navigating the regulatory approval process. As a result, our ability to successfully submit an NDA and obtain regulatory approval for our drug candidates may involve more inherent risk, take longer, and cost more than it would if we were a company with experience in obtaining regulatory approvals.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Regulatory authorities outside of the U.S., such as the NMPA, TGA, Health Canada and EMA, also have requirements for approval of drugs for commercial sale with which we must comply prior to marketing in those areas. Regulatory requirements can vary widely from country to country and could delay or prevent the introduction of our drug candidates. Clinical trials conducted in one country may not be accepted by regulatory authorities in other countries, and obtaining regulatory approval in one country does not mean that regulatory approval will be obtained in any other country. Approval processes vary among countries and can involve additional product testing and validation, and additional administrative review periods. Seeking non-U.S. regulatory approval could require additional nonclinical studies or clinical trials, which could be costly and time consuming. The non-U.S. regulatory approval process may include all of the risks associated with obtaining FDA approval. For all of these reasons, we may not obtain non-U.S. regulatory approvals on a timely basis, if at all.</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process to develop, obtain regulatory approval for and commercialize drug candidates is long, complex and costly both inside and outside the U.S., and approval is never guaranteed. Even if our drug candidates were to successfully obtain approval from the regulatory authorities, any approval might significantly limit the approved indications for use, or require that precautions, contraindications or warnings be included on the product labeling, or require expensive and time-consuming post-approval clinical trials or surveillance as conditions of approval. Following any approval for commercial sale of our drug candidates, certain changes to the drug, such as changes in manufacturing processes and additional labeling claims, may be subject to additional review and approval by the FDA, NMPA, TGA, Health Canada, EMA and comparable regulatory authorities. Also, regulatory approval for any of our drug candidates may be withdrawn. If we are unable to obtain regulatory approval for our drug candidates in one or more jurisdictions, or any approval contains significant limitations, our target market will be reduced and our ability to realize the full market potential of our drug candidates will be harmed. Furthermore, we may not be able to obtain sufficient funding or generate sufficient revenue and cash flows to continue the development of any other drug candidate in the future.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4" w:name="S_PROCEEDS"/>
      <w:bookmarkEnd w:id="44"/>
      <w:r>
        <w:rPr>
          <w:rFonts w:ascii="Times New Roman;Times;serif" w:hAnsi="Times New Roman;Times;serif"/>
          <w:b/>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estimate the net proceeds from this offering will be approximately $               from the sale of our common stock, after deducting underwriting discounts and commissions and estimates offering expenses payable by 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expect to use the net proceeds from the offerings, if any, together with our existing cash, for expenses primarily related to general corporate purposes, including to fund the clinical development of our lead drug candidate, CNM-Au8, including the conduct of and continued access to CNM-Au8 in our on-going and planned clinical trials, including expanded access protocols; potential future commercialization efforts, manufacturing expansion and future regulatory activities including preparation of regulatory filings; and for additional early-stage research and development activities.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drug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clinical trials, and the timing of regulatory submissions. Accordingly, we will have broad discretion in using these net proceeds.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intend to invest the net proceeds we receive that are not used as described above in a variety of capital preservation investments, including investment-grade, interest-bearing instruments and certificates of deposit or direct or guaranteed obligations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5" w:name="S_SECURITIES"/>
      <w:bookmarkEnd w:id="45"/>
      <w:r>
        <w:rPr>
          <w:rFonts w:ascii="Times New Roman;Times;serif" w:hAnsi="Times New Roman;Times;serif"/>
          <w:b/>
          <w:sz w:val="20"/>
        </w:rPr>
        <w:t>DESCRIPTION OF SECURITIES</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material terms of our common stock are described under the heading “</w:t>
      </w:r>
      <w:r>
        <w:rPr>
          <w:rFonts w:ascii="Times New Roman;Times;serif" w:hAnsi="Times New Roman;Times;serif"/>
          <w:i/>
          <w:sz w:val="20"/>
        </w:rPr>
        <w:t>Description of Capital Stock</w:t>
      </w:r>
      <w:r>
        <w:rPr>
          <w:rFonts w:ascii="Times New Roman;Times;serif" w:hAnsi="Times New Roman;Times;serif"/>
          <w:sz w:val="20"/>
        </w:rPr>
        <w:t>” in the accompanying base prospectus and in the “</w:t>
      </w:r>
      <w:r>
        <w:rPr>
          <w:rFonts w:ascii="Times New Roman;Times;serif" w:hAnsi="Times New Roman;Times;serif"/>
          <w:i/>
          <w:sz w:val="20"/>
        </w:rPr>
        <w:t>Description of Securities of the Registrant</w:t>
      </w:r>
      <w:r>
        <w:rPr>
          <w:rFonts w:ascii="Times New Roman;Times;serif" w:hAnsi="Times New Roman;Times;serif"/>
          <w:sz w:val="20"/>
        </w:rPr>
        <w:t>” included as Exhibit 4.1 to our Annual Report on Form 10-K for the year ended </w:t>
      </w:r>
      <w:bookmarkStart w:id="46" w:name="led401375F20248261727373382184"/>
      <w:bookmarkEnd w:id="46"/>
      <w:r>
        <w:rPr>
          <w:rFonts w:ascii="Times New Roman;Times;serif" w:hAnsi="Times New Roman;Times;serif"/>
          <w:sz w:val="20"/>
        </w:rPr>
        <w:t>December 31, 2025, filed with the SEC on March 17, 2026.</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transfer agent and registrar for our common stock is Equiniti Trust Company, LLC. Our common stock is listed on the Nasdaq Capital Market under the symbol “CLNN.”</w:t>
      </w:r>
    </w:p>
    <w:p>
      <w:pPr>
        <w:pStyle w:val="TextBody"/>
        <w:bidi w:val="0"/>
        <w:spacing w:before="0" w:after="0"/>
        <w:ind w:left="0" w:right="0" w:firstLine="40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47" w:name="S_DILUTION"/>
      <w:bookmarkEnd w:id="47"/>
      <w:r>
        <w:rPr>
          <w:rFonts w:ascii="Times New Roman;Times;serif" w:hAnsi="Times New Roman;Times;serif"/>
          <w:b/>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you invest in our securities in this offering, you will experience immediate and substantial dilution to the extent of the difference between the public offering price per share of our common stock, and the adjusted net tangible book value per share of our common stock immediately upon the consummation of this offering. Net tangible book value per share represents the book value of our tangible assets less the book value of our total liabilities divided by the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historical net tangible book value (deficit) as of </w:t>
      </w:r>
      <w:bookmarkStart w:id="48" w:name="led401375F20248261727373578296"/>
      <w:bookmarkEnd w:id="48"/>
      <w:r>
        <w:rPr>
          <w:rFonts w:ascii="Times New Roman" w:hAnsi="Times New Roman"/>
          <w:caps w:val="false"/>
          <w:smallCaps w:val="false"/>
          <w:sz w:val="20"/>
        </w:rPr>
        <w:t xml:space="preserve">December 31, 2025 was </w:t>
      </w:r>
      <w:bookmarkStart w:id="49" w:name="led401382F20248261727373745535"/>
      <w:bookmarkEnd w:id="49"/>
      <w:r>
        <w:rPr>
          <w:rFonts w:ascii="Times New Roman" w:hAnsi="Times New Roman"/>
          <w:caps w:val="false"/>
          <w:smallCaps w:val="false"/>
          <w:sz w:val="20"/>
        </w:rPr>
        <w:t xml:space="preserve">$(17.6) million, or </w:t>
      </w:r>
      <w:bookmarkStart w:id="50" w:name="led401382F20234111683840510097"/>
      <w:bookmarkEnd w:id="50"/>
      <w:r>
        <w:rPr>
          <w:rFonts w:ascii="Times New Roman" w:hAnsi="Times New Roman"/>
          <w:caps w:val="false"/>
          <w:smallCaps w:val="false"/>
          <w:sz w:val="20"/>
        </w:rPr>
        <w:t xml:space="preserve">($1.62) per share of our common stock. Our historical net tangible book value (deficit) is the amount of our total tangible assets less our total liabilities. Historical net tangible book value (deficit) per share represents historical net tangible book value (deficit) divided by </w:t>
      </w:r>
      <w:bookmarkStart w:id="51" w:name="led401382F20234111683840529966"/>
      <w:bookmarkEnd w:id="51"/>
      <w:r>
        <w:rPr>
          <w:rFonts w:ascii="Times New Roman" w:hAnsi="Times New Roman"/>
          <w:caps w:val="false"/>
          <w:smallCaps w:val="false"/>
          <w:sz w:val="20"/>
        </w:rPr>
        <w:t xml:space="preserve">10,849,974 shares of our common stock outstanding as of </w:t>
      </w:r>
      <w:bookmarkStart w:id="52" w:name="led401375F20248261727373587478"/>
      <w:bookmarkEnd w:id="52"/>
      <w:r>
        <w:rPr>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After giving effect to               shares of our common stock, and after deducting underwriting discounts and commissions and estimated offering expenses payable by us, our as adjusted net tangible book value (deficit) as of </w:t>
      </w:r>
      <w:bookmarkStart w:id="53" w:name="led401375F202482617273735782961"/>
      <w:bookmarkEnd w:id="53"/>
      <w:r>
        <w:rPr>
          <w:rFonts w:ascii="Times New Roman" w:hAnsi="Times New Roman"/>
          <w:caps w:val="false"/>
          <w:smallCaps w:val="false"/>
          <w:sz w:val="20"/>
        </w:rPr>
        <w:t>December 31, 2025 would have been $               , or $               per share. This represents an immediate increase in as adjusted net tangible book value (deficit) per share of $               to existing stockholders and an immediate dilution of $               in as adjusted net tangible book value (deficit) per share to investors purchasing our securities in this offering. Dilution per share to investors purchasing our securities in this offering is determined by subtracting as adjusted net tangible book value (deficit) per share after this offering from the public offering price per share paid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following table illustrates this dilution on a per share basis:</w:t>
      </w:r>
    </w:p>
    <w:p>
      <w:pPr>
        <w:pStyle w:val="TextBody"/>
        <w:bidi w:val="0"/>
        <w:spacing w:before="0" w:after="0"/>
        <w:ind w:left="0" w:right="0" w:firstLine="42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685"/>
        <w:gridCol w:w="60"/>
        <w:gridCol w:w="140"/>
        <w:gridCol w:w="515"/>
        <w:gridCol w:w="95"/>
        <w:gridCol w:w="60"/>
        <w:gridCol w:w="140"/>
        <w:gridCol w:w="60"/>
        <w:gridCol w:w="60"/>
      </w:tblGrid>
      <w:tr>
        <w:trPr/>
        <w:tc>
          <w:tcPr>
            <w:tcW w:w="7685" w:type="dxa"/>
            <w:tcBorders/>
            <w:shd w:fill="CCEEFF" w:val="clear"/>
            <w:vAlign w:val="center"/>
          </w:tcPr>
          <w:p>
            <w:pPr>
              <w:pStyle w:val="TableContents"/>
              <w:bidi w:val="0"/>
              <w:spacing w:before="0" w:after="283"/>
              <w:ind w:left="0" w:right="0" w:hanging="180"/>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r>
      <w:tr>
        <w:trPr/>
        <w:tc>
          <w:tcPr>
            <w:tcW w:w="7685" w:type="dxa"/>
            <w:tcBorders/>
            <w:shd w:fill="FFFFFF" w:val="clear"/>
            <w:vAlign w:val="center"/>
          </w:tcPr>
          <w:p>
            <w:pPr>
              <w:pStyle w:val="TableContents"/>
              <w:bidi w:val="0"/>
              <w:spacing w:before="0" w:after="283"/>
              <w:jc w:val="left"/>
              <w:rPr/>
            </w:pPr>
            <w:r>
              <w:rPr/>
              <w:t>Historical net tangible book value (deficit)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r>
      <w:tr>
        <w:trPr/>
        <w:tc>
          <w:tcPr>
            <w:tcW w:w="7685" w:type="dxa"/>
            <w:tcBorders/>
            <w:shd w:fill="CCEEFF" w:val="clear"/>
            <w:vAlign w:val="center"/>
          </w:tcPr>
          <w:p>
            <w:pPr>
              <w:pStyle w:val="TableContents"/>
              <w:bidi w:val="0"/>
              <w:spacing w:before="0" w:after="283"/>
              <w:jc w:val="left"/>
              <w:rPr/>
            </w:pPr>
            <w:r>
              <w:rPr/>
              <w:t>Increase in historical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80"/>
              <w:jc w:val="left"/>
              <w:rPr/>
            </w:pPr>
            <w:r>
              <w:rPr/>
              <w:t> </w:t>
            </w:r>
          </w:p>
        </w:tc>
      </w:tr>
      <w:tr>
        <w:trPr/>
        <w:tc>
          <w:tcPr>
            <w:tcW w:w="7685" w:type="dxa"/>
            <w:tcBorders/>
            <w:shd w:fill="FFFFFF" w:val="clear"/>
            <w:vAlign w:val="center"/>
          </w:tcPr>
          <w:p>
            <w:pPr>
              <w:pStyle w:val="TableContents"/>
              <w:bidi w:val="0"/>
              <w:spacing w:before="0" w:after="283"/>
              <w:jc w:val="left"/>
              <w:rPr/>
            </w:pPr>
            <w:r>
              <w:rPr/>
              <w:t>As adjusted net tangible book value (deficit)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r>
      <w:tr>
        <w:trPr/>
        <w:tc>
          <w:tcPr>
            <w:tcW w:w="7685" w:type="dxa"/>
            <w:tcBorders/>
            <w:shd w:fill="CCEEFF" w:val="clear"/>
            <w:vAlign w:val="center"/>
          </w:tcPr>
          <w:p>
            <w:pPr>
              <w:pStyle w:val="TableContents"/>
              <w:bidi w:val="0"/>
              <w:spacing w:before="0" w:after="283"/>
              <w:jc w:val="left"/>
              <w:rPr/>
            </w:pPr>
            <w:r>
              <w:rPr/>
              <w:t>Dilution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 xml:space="preserve">The foregoing tables and calculations (other than the historical net tangible book value (deficit) calculations) are based on </w:t>
      </w:r>
      <w:bookmarkStart w:id="54" w:name="led401382F202341116838405299661"/>
      <w:bookmarkEnd w:id="54"/>
      <w:r>
        <w:rPr>
          <w:rFonts w:ascii="Times New Roman" w:hAnsi="Times New Roman"/>
          <w:caps w:val="false"/>
          <w:smallCaps w:val="false"/>
          <w:sz w:val="20"/>
        </w:rPr>
        <w:t xml:space="preserve">10,849,974 shares of our common stock outstanding as of </w:t>
      </w:r>
      <w:bookmarkStart w:id="55" w:name="led401375F202482617273735874781"/>
      <w:bookmarkEnd w:id="55"/>
      <w:r>
        <w:rPr>
          <w:rFonts w:ascii="Times New Roman" w:hAnsi="Times New Roman"/>
          <w:caps w:val="false"/>
          <w:smallCaps w:val="false"/>
          <w:sz w:val="20"/>
        </w:rPr>
        <w:t>December 31, 2025, and excludes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56" w:name="led608466F20248261727374029889"/>
            <w:bookmarkEnd w:id="56"/>
            <w:r>
              <w:rPr>
                <w:rFonts w:ascii="Times New Roman;Times;serif" w:hAnsi="Times New Roman;Times;serif"/>
                <w:caps w:val="false"/>
                <w:smallCaps w:val="false"/>
                <w:sz w:val="20"/>
              </w:rPr>
              <w:t xml:space="preserve">2,787,201 shares of common stock issuable upon exercise of stock options outstanding as of </w:t>
            </w:r>
            <w:bookmarkStart w:id="57" w:name="led401375F202482617273735874782"/>
            <w:bookmarkEnd w:id="57"/>
            <w:r>
              <w:rPr>
                <w:rFonts w:ascii="Times New Roman;Times;serif" w:hAnsi="Times New Roman;Times;serif"/>
                <w:caps w:val="false"/>
                <w:smallCaps w:val="false"/>
                <w:sz w:val="20"/>
              </w:rPr>
              <w:t xml:space="preserve">December 31, 2025 with a weighted-average exercise price of </w:t>
            </w:r>
            <w:bookmarkStart w:id="58" w:name="led608466F20248261727374040161"/>
            <w:bookmarkEnd w:id="58"/>
            <w:r>
              <w:rPr>
                <w:rFonts w:ascii="Times New Roman;Times;serif" w:hAnsi="Times New Roman;Times;serif"/>
                <w:caps w:val="false"/>
                <w:smallCaps w:val="false"/>
                <w:sz w:val="20"/>
              </w:rPr>
              <w:t>$20.79 per share;</w:t>
            </w:r>
          </w:p>
        </w:tc>
      </w:tr>
    </w:tbl>
    <w:p>
      <w:pPr>
        <w:pStyle w:val="TextBody"/>
        <w:bidi w:val="0"/>
        <w:spacing w:before="0" w:after="0"/>
        <w:ind w:left="0" w:right="0" w:hanging="0"/>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59" w:name="led608466F20248261727374047737"/>
            <w:bookmarkEnd w:id="59"/>
            <w:r>
              <w:rPr>
                <w:rFonts w:ascii="Times New Roman;Times;serif" w:hAnsi="Times New Roman;Times;serif"/>
                <w:caps w:val="false"/>
                <w:smallCaps w:val="false"/>
                <w:sz w:val="20"/>
              </w:rPr>
              <w:t xml:space="preserve">525,784 shares of common stock reserved for future grant under our 2020 Stock Plan as of </w:t>
            </w:r>
            <w:bookmarkStart w:id="60" w:name="led401375F202482617273735874783"/>
            <w:bookmarkEnd w:id="60"/>
            <w:r>
              <w:rPr>
                <w:rFonts w:ascii="Times New Roman;Times;serif" w:hAnsi="Times New Roman;Times;serif"/>
                <w:caps w:val="false"/>
                <w:smallCaps w:val="false"/>
                <w:sz w:val="20"/>
              </w:rPr>
              <w:t>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bookmarkStart w:id="61" w:name="led608466F2026061767725240912"/>
            <w:bookmarkEnd w:id="61"/>
            <w:r>
              <w:rPr>
                <w:rFonts w:ascii="Times New Roman;Times;serif" w:hAnsi="Times New Roman;Times;serif"/>
                <w:caps w:val="false"/>
                <w:smallCaps w:val="false"/>
                <w:sz w:val="20"/>
              </w:rPr>
              <w:t xml:space="preserve">6,696,914 shares of common stock issuable upon exercise of warrants outstanding as of </w:t>
            </w:r>
            <w:bookmarkStart w:id="62" w:name="led401375F202482617273735874784"/>
            <w:bookmarkEnd w:id="62"/>
            <w:r>
              <w:rPr>
                <w:rFonts w:ascii="Times New Roman;Times;serif" w:hAnsi="Times New Roman;Times;serif"/>
                <w:caps w:val="false"/>
                <w:smallCaps w:val="false"/>
                <w:sz w:val="20"/>
              </w:rPr>
              <w:t xml:space="preserve">December 31, 2025 with a weighted-average exercise price of </w:t>
            </w:r>
            <w:bookmarkStart w:id="63" w:name="led608466F2026021767319869851"/>
            <w:bookmarkEnd w:id="63"/>
            <w:r>
              <w:rPr>
                <w:rFonts w:ascii="Times New Roman;Times;serif" w:hAnsi="Times New Roman;Times;serif"/>
                <w:caps w:val="false"/>
                <w:smallCaps w:val="false"/>
                <w:sz w:val="20"/>
              </w:rPr>
              <w:t>$20.63 per share;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up to </w:t>
            </w:r>
            <w:bookmarkStart w:id="64" w:name="led608466F20248261727374089927"/>
            <w:bookmarkEnd w:id="64"/>
            <w:r>
              <w:rPr>
                <w:rFonts w:ascii="Times New Roman;Times;serif" w:hAnsi="Times New Roman;Times;serif"/>
                <w:caps w:val="false"/>
                <w:smallCaps w:val="false"/>
                <w:sz w:val="20"/>
              </w:rPr>
              <w:t xml:space="preserve">1,503,596 shares of common stock issuable upon conversion of our convertible notes payable outstanding as of </w:t>
            </w:r>
            <w:bookmarkStart w:id="65" w:name="led401375F202482617273735874785"/>
            <w:bookmarkEnd w:id="65"/>
            <w:r>
              <w:rPr>
                <w:rFonts w:ascii="Times New Roman;Times;serif" w:hAnsi="Times New Roman;Times;serif"/>
                <w:caps w:val="false"/>
                <w:smallCaps w:val="false"/>
                <w:sz w:val="20"/>
              </w:rPr>
              <w:t>December 31, 2025.</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stock options, warrants, restricted stock awards, earn-out shares, or convertible notes payable outstanding as of </w:t>
      </w:r>
      <w:bookmarkStart w:id="66" w:name="led401375F202482617273735874786"/>
      <w:bookmarkEnd w:id="66"/>
      <w:r>
        <w:rPr>
          <w:rFonts w:ascii="Times New Roman" w:hAnsi="Times New Roman"/>
          <w:caps w:val="false"/>
          <w:smallCaps w:val="false"/>
          <w:sz w:val="20"/>
        </w:rPr>
        <w:t>December 31, 2025 are exercised, vested, or converted to shares of common stock at prices below the prices paid by investors participating in this offering, investors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7" w:name="S_UNDERWRITING"/>
      <w:bookmarkEnd w:id="67"/>
      <w:r>
        <w:rPr>
          <w:rFonts w:ascii="Times New Roman;Times;serif" w:hAnsi="Times New Roman;Times;serif"/>
          <w:b/>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We and the underwriters for the offering named below have entered into an </w:t>
      </w:r>
      <w:bookmarkStart w:id="68" w:name="led401375F202482617273680117991"/>
      <w:bookmarkEnd w:id="68"/>
      <w:r>
        <w:rPr>
          <w:rFonts w:ascii="Times New Roman" w:hAnsi="Times New Roman"/>
          <w:caps w:val="false"/>
          <w:smallCaps w:val="false"/>
          <w:sz w:val="20"/>
        </w:rPr>
        <w:t xml:space="preserve">Underwriting Agreement with respect to the securities being offered. </w:t>
      </w:r>
      <w:bookmarkStart w:id="69" w:name="led401375F2026021767395833578"/>
      <w:bookmarkEnd w:id="69"/>
      <w:r>
        <w:rPr>
          <w:rFonts w:ascii="Times New Roman" w:hAnsi="Times New Roman"/>
          <w:caps w:val="false"/>
          <w:smallCaps w:val="false"/>
          <w:sz w:val="20"/>
        </w:rPr>
        <w:t>Canaccord Genuity LLC is acting as the representative of the several underwriters. Subject to the terms and conditions of the </w:t>
      </w:r>
      <w:bookmarkStart w:id="70" w:name="led401375F20248261727368011799"/>
      <w:bookmarkEnd w:id="70"/>
      <w:r>
        <w:rPr>
          <w:rFonts w:ascii="Times New Roman" w:hAnsi="Times New Roman"/>
          <w:caps w:val="false"/>
          <w:smallCaps w:val="false"/>
          <w:sz w:val="20"/>
        </w:rPr>
        <w:t>Underwriting Agreement, the underwriters have agreed to purchase from us the number of securities set forth opposite its name below.</w:t>
      </w:r>
    </w:p>
    <w:p>
      <w:pPr>
        <w:pStyle w:val="TextBody"/>
        <w:bidi w:val="0"/>
        <w:spacing w:before="0" w:after="0"/>
        <w:ind w:left="0" w:right="0" w:firstLine="400"/>
        <w:jc w:val="both"/>
        <w:rPr>
          <w:caps w:val="false"/>
          <w:smallCaps w:val="false"/>
        </w:rPr>
      </w:pPr>
      <w:r>
        <w:rPr>
          <w:caps w:val="false"/>
          <w:smallCaps w:val="false"/>
        </w:rPr>
        <w:t> </w:t>
      </w:r>
    </w:p>
    <w:tbl>
      <w:tblPr>
        <w:tblW w:w="3489" w:type="dxa"/>
        <w:jc w:val="left"/>
        <w:tblInd w:w="0" w:type="dxa"/>
        <w:tblLayout w:type="fixed"/>
        <w:tblCellMar>
          <w:top w:w="0" w:type="dxa"/>
          <w:left w:w="0" w:type="dxa"/>
          <w:bottom w:w="0" w:type="dxa"/>
          <w:right w:w="0" w:type="dxa"/>
        </w:tblCellMar>
      </w:tblPr>
      <w:tblGrid>
        <w:gridCol w:w="2030"/>
        <w:gridCol w:w="60"/>
        <w:gridCol w:w="661"/>
        <w:gridCol w:w="663"/>
        <w:gridCol w:w="75"/>
      </w:tblGrid>
      <w:tr>
        <w:trPr/>
        <w:tc>
          <w:tcPr>
            <w:tcW w:w="2030"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Underwriter</w:t>
            </w:r>
          </w:p>
        </w:tc>
        <w:tc>
          <w:tcPr>
            <w:tcW w:w="60" w:type="dxa"/>
            <w:tcBorders/>
            <w:vAlign w:val="center"/>
          </w:tcPr>
          <w:p>
            <w:pPr>
              <w:pStyle w:val="TableContents"/>
              <w:bidi w:val="0"/>
              <w:spacing w:before="0" w:after="283"/>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Shares</w:t>
            </w:r>
          </w:p>
        </w:tc>
        <w:tc>
          <w:tcPr>
            <w:tcW w:w="75" w:type="dxa"/>
            <w:tcBorders/>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Canaccord Genuity LLC</w:t>
            </w:r>
          </w:p>
        </w:tc>
        <w:tc>
          <w:tcPr>
            <w:tcW w:w="60"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2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w:t>
      </w:r>
      <w:bookmarkStart w:id="71" w:name="led401375F202482617273680117993"/>
      <w:bookmarkEnd w:id="71"/>
      <w:r>
        <w:rPr>
          <w:rFonts w:ascii="Times New Roman" w:hAnsi="Times New Roman"/>
          <w:caps w:val="false"/>
          <w:smallCaps w:val="false"/>
          <w:sz w:val="20"/>
        </w:rPr>
        <w:t>Underwriting Agreement provides that the obligations of the underwriters are subject to certain conditions precedent and that the underwriters have agreed to purchase all of the securities sold under the </w:t>
      </w:r>
      <w:bookmarkStart w:id="72" w:name="led401375F202482617273680117992"/>
      <w:bookmarkEnd w:id="72"/>
      <w:r>
        <w:rPr>
          <w:rFonts w:ascii="Times New Roman" w:hAnsi="Times New Roman"/>
          <w:caps w:val="false"/>
          <w:smallCaps w:val="false"/>
          <w:sz w:val="20"/>
        </w:rPr>
        <w:t>Underwriting Agreement if any of these securities are purchased.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agreed to indemnify the underwriters against certain liabilities, including liabilities under the Securities Act, and to contribute to payments the underwriters may be required to make in respect thereof.</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under the symbol “CLNN.”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underwriters are offering the securities, subject to prior sale, when, as and if issued to and accepted by them, subject to approval of legal matters by their counsel and other conditions specified in the </w:t>
      </w:r>
      <w:bookmarkStart w:id="73" w:name="led401375F202482617273680117994"/>
      <w:bookmarkEnd w:id="73"/>
      <w:r>
        <w:rPr>
          <w:rFonts w:ascii="Times New Roman" w:hAnsi="Times New Roman"/>
          <w:caps w:val="false"/>
          <w:smallCaps w:val="false"/>
          <w:sz w:val="20"/>
        </w:rPr>
        <w:t>Underwriting Agreement. The underwriters reserve the right to withdraw, cancel or modify offers and to reject orders in whole or in part.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Discounts</w:t>
      </w:r>
      <w:r>
        <w:rPr>
          <w:rFonts w:ascii="Times New Roman" w:hAnsi="Times New Roman"/>
          <w:caps w:val="false"/>
          <w:smallCaps w:val="false"/>
          <w:sz w:val="20"/>
        </w:rPr>
        <w:t>. The following table shows the offering price, underwriting discounts and commissions and proceeds, before expenses, to us from the sale of the securities offered hereby.</w:t>
      </w:r>
    </w:p>
    <w:p>
      <w:pPr>
        <w:pStyle w:val="TextBody"/>
        <w:bidi w:val="0"/>
        <w:spacing w:before="0" w:after="0"/>
        <w:ind w:left="0" w:right="0" w:firstLine="400"/>
        <w:jc w:val="both"/>
        <w:rPr>
          <w:caps w:val="false"/>
          <w:smallCaps w:val="false"/>
        </w:rPr>
      </w:pPr>
      <w:r>
        <w:rPr>
          <w:caps w:val="false"/>
          <w:smallCaps w:val="false"/>
        </w:rPr>
        <w:t> </w:t>
      </w:r>
    </w:p>
    <w:tbl>
      <w:tblPr>
        <w:tblW w:w="4844" w:type="dxa"/>
        <w:jc w:val="left"/>
        <w:tblInd w:w="0" w:type="dxa"/>
        <w:tblLayout w:type="fixed"/>
        <w:tblCellMar>
          <w:top w:w="0" w:type="dxa"/>
          <w:left w:w="0" w:type="dxa"/>
          <w:bottom w:w="0" w:type="dxa"/>
          <w:right w:w="0" w:type="dxa"/>
        </w:tblCellMar>
      </w:tblPr>
      <w:tblGrid>
        <w:gridCol w:w="3440"/>
        <w:gridCol w:w="60"/>
        <w:gridCol w:w="499"/>
        <w:gridCol w:w="240"/>
        <w:gridCol w:w="60"/>
        <w:gridCol w:w="60"/>
        <w:gridCol w:w="277"/>
        <w:gridCol w:w="133"/>
        <w:gridCol w:w="75"/>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p>
        </w:tc>
        <w:tc>
          <w:tcPr>
            <w:tcW w:w="60"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44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Proceeds to Clene Inc., before expenses(1)</w:t>
            </w:r>
          </w:p>
        </w:tc>
        <w:tc>
          <w:tcPr>
            <w:tcW w:w="60"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We estimate that the total expenses of the offering payable by us, excluding underwriting discounts and commissions, will be approximately $               . Additionally, we have agreed to reimburse the underwriters for expenses, including the fees and expenses of counsel for the underwriters, in an amount not to exceed </w:t>
      </w:r>
      <w:bookmarkStart w:id="74" w:name="led401386F2026441777926533436"/>
      <w:bookmarkEnd w:id="74"/>
      <w:r>
        <w:rPr>
          <w:rFonts w:ascii="Times New Roman" w:hAnsi="Times New Roman"/>
          <w:caps w:val="false"/>
          <w:smallCaps w:val="false"/>
          <w:sz w:val="20"/>
        </w:rPr>
        <w:t>$75,000.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underwriters propose to offer the securities offering price set forth on the cover of this prospectus supplement. If all of the securities are not sold at the offering price, the underwriters may change the offering price and other selling terms.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Discretionary Accounts</w:t>
      </w:r>
      <w:r>
        <w:rPr>
          <w:rFonts w:ascii="Times New Roman" w:hAnsi="Times New Roman"/>
          <w:caps w:val="false"/>
          <w:smallCaps w:val="false"/>
          <w:sz w:val="20"/>
        </w:rPr>
        <w:t>. The underwriters do not intend to confirm sales of the securities to any accounts over which they have discretionary authority.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Stabilization</w:t>
      </w:r>
      <w:r>
        <w:rPr>
          <w:rFonts w:ascii="Times New Roman" w:hAnsi="Times New Roman"/>
          <w:caps w:val="false"/>
          <w:smallCaps w:val="false"/>
          <w:sz w:val="20"/>
        </w:rPr>
        <w:t>. 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underwriters have advised us that, pursuant to Regulation M of the Securities Act, the underwriters may also engage in other activities that stabilize, maintain or otherwise affect the price of the common stock, including the imposition of penalty bids.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 the counter market or otherwise.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Passive Market Making</w:t>
      </w:r>
      <w:r>
        <w:rPr>
          <w:rFonts w:ascii="Times New Roman" w:hAnsi="Times New Roman"/>
          <w:caps w:val="false"/>
          <w:smallCaps w:val="false"/>
          <w:sz w:val="20"/>
        </w:rPr>
        <w:t>. In connection with this offering, the underwriters may engage in passive market making transactions in our common stock on Nasdaq in accordance with Rule 103 of Regulation M under the Exchange Act during a period before the commencement of offers or sales of securities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Lock-Up Agreements</w:t>
      </w:r>
      <w:r>
        <w:rPr>
          <w:rFonts w:ascii="Times New Roman" w:hAnsi="Times New Roman"/>
          <w:caps w:val="false"/>
          <w:smallCaps w:val="false"/>
          <w:sz w:val="20"/>
        </w:rPr>
        <w:t>. Pursuant to certain ‘‘lock-up’’ agreements, for a period of 60 days after the date of the Underwriting Agreement, we, certain of our executive officers, our directors and certain affiliated entities of our directors have agreed, subject to certain exceptions, not to (i) directly or indirectly, sell, offer to sell, contract to sell or lend, effect any short sale or establish or increase a Put Equivalent Position (as defined in Rule 16a-1(h) under the Exchange Act) or liquidate or decrease any Call Equivalent Position (as defined in Rule 16a-1(b) under the Exchange Act), pledge, hypothecate or grant any security interest in, or in any other way transfer or dispose of, any of our common stock or any securities convertible into or exchangeable or exercisable into our common stock (collectively, the “Lock-Up Securities”), (ii) make any demand for, or exercise any right with respect to the registration of any of the Lock-Up Securities, or the filing of any registration statement, prospectus or prospectus supplement (or an amendment or supplement thereto) in connection therewith, (iii) enter into any swap, hedge or other agreement or any transaction that transfers, in whole or in part, the economic consequence of ownership of the Lock-Up Securities, whether any such swap or transaction is to be settled by delivery of our common stock or other securities, in cash or otherwise, or (iv) publicly announce the intention to do any of the foregoing, without the prior written consent of Canaccord Genuity LLC.</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Canada</w:t>
      </w:r>
      <w:r>
        <w:rPr>
          <w:rFonts w:ascii="Times New Roman" w:hAnsi="Times New Roman"/>
          <w:caps w:val="false"/>
          <w:smallCaps w:val="false"/>
          <w:sz w:val="20"/>
        </w:rPr>
        <w:t>. 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Israel</w:t>
      </w:r>
      <w:r>
        <w:rPr>
          <w:rFonts w:ascii="Times New Roman" w:hAnsi="Times New Roman"/>
          <w:caps w:val="false"/>
          <w:smallCaps w:val="false"/>
          <w:sz w:val="20"/>
        </w:rPr>
        <w:t>. In the State of Israel this prospectus supplement shall not be regarded as an offer to the public to purchase the units offered hereby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The Company has not and will not distribute this prospectus supplement or make, distribute or direct an offer to subscribe for the units offered hereby to any person within the State of Israel, other than to Qualified Investors and up to 35 Addressed Investors.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Qualified Investors may have to submit written evidence that they meet the definitions set out in of the First Addendum to the Israeli Securities Law, 5728 – 1968. In particular, the Company may request, as a condition to be offered units, that Qualified Investors will each represent, warrant and certify to the Company and/or to anyone acting on its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units; (iv) that the units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United Kingdom</w:t>
      </w:r>
      <w:r>
        <w:rPr>
          <w:rFonts w:ascii="Times New Roman" w:hAnsi="Times New Roman"/>
          <w:caps w:val="false"/>
          <w:smallCaps w:val="false"/>
          <w:sz w:val="20"/>
        </w:rPr>
        <w:t>. In the United Kingdom, this prospectus supplement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supplement relates is available only to relevant persons and will only be engaged with relevant persons. Any person who is not a relevant person should not act or relay on this prospectus supplement or any of its contents.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Switzerland</w:t>
      </w:r>
      <w:r>
        <w:rPr>
          <w:rFonts w:ascii="Times New Roman" w:hAnsi="Times New Roman"/>
          <w:caps w:val="false"/>
          <w:smallCaps w:val="false"/>
          <w:sz w:val="20"/>
        </w:rPr>
        <w:t>. The securities will not be offered, directly or indirectly, to the public in Switzerland and this prospectus supplement does not constitute a public offering prospectus as that term is understood pursuant to article 652a or 1156 of the Swiss Federal Code of Obligations.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European Economic Area</w:t>
      </w:r>
      <w:r>
        <w:rPr>
          <w:rFonts w:ascii="Times New Roman" w:hAnsi="Times New Roman"/>
          <w:caps w:val="false"/>
          <w:smallCaps w:val="false"/>
          <w:sz w:val="20"/>
        </w:rPr>
        <w:t>. In relation to each Member State of the European Economic Area (each, a “Member State”), no offer of shares may be made to the public in that Member State other than:</w:t>
      </w:r>
    </w:p>
    <w:p>
      <w:pPr>
        <w:pStyle w:val="TextBody"/>
        <w:bidi w:val="0"/>
        <w:spacing w:before="0" w:after="0"/>
        <w:ind w:left="0" w:right="0" w:firstLine="40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1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any legal entity which is a qualified investor as defined in the Prospectus Regulation;</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fewer than 150 natural or legal persons (other than qualified investors as defined in the Prospectus Regulation), subject to obtaining the prior consent of the underwriters; or</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any other circumstances falling within Article 1(4) of the Prospectus Regulation, provided that no such offer of securities shall require the Company or the underwriters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underwriters and the Company that it is a “qualified investor” as defined in the Prospectus Regulation.</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the case of any securities being offered to a financial intermediary as that term is used in Article 5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Member State to qualified investors as so defined or in circumstances in which the prior consent of the underwriters has been obtained to each such proposed offer or resale.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the purposes of this provision, the expression an “offer of securities to the public” in relation to any securities in any Member State means the communication in any form and by means of sufficient information on the terms of the offer and the securities to be offered so as to enable an investor to decide to purchase securities, and the expression “Prospectus Regulation” means Regulation (EU) 2017/1129 (as amended).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not authorized and does not authorize the making of any offer of securities through any financial intermediary on our behalf, other than offers made by the underwriters and their affiliates, with a view to the final placement of the securities as contemplated in this document. Accordingly, no purchaser of the securities, other than the underwriters, is authorized to make any further offer of securities on our behalf or on behalf of the underwriters.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Electronic Offer, Sale and Distribution of Securities</w:t>
      </w:r>
      <w:r>
        <w:rPr>
          <w:rFonts w:ascii="Times New Roman" w:hAnsi="Times New Roman"/>
          <w:caps w:val="false"/>
          <w:smallCaps w:val="false"/>
          <w:sz w:val="20"/>
        </w:rPr>
        <w:t>. A prospectus supplement in electronic format may be made available on the website maintained by the underwriters and the underwriters may distribute prospectus supplements electronically. The underwriters may agree to allocate a number of units for sale to their online brokerage account holders. Internet distributions will be allocated by the underwriters on the same basis as other allocations. Other than the prospectus supplement in electronic format, the information on this website is not part of this prospectus supplement or the registration statement of which this prospectus supplement forms a part, has not been approved or endorsed by us or the underwriters in their capacity as underwriters, and should not be relied upon by investors.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Other Relationships</w:t>
      </w:r>
      <w:r>
        <w:rPr>
          <w:rFonts w:ascii="Times New Roman" w:hAnsi="Times New Roman"/>
          <w:caps w:val="false"/>
          <w:smallCaps w:val="false"/>
          <w:sz w:val="20"/>
        </w:rPr>
        <w:t>. The underwriters and their affiliates may have provided in the past, and may in the future provide, various investment banking, commercial banking and other financial services for us and our affiliates for which they have received, or may in the future receive, customary fees. For example, Canaccord Genuity LLC serves as sales agent under our equity distribution agreement dated April 28, 2025 pursuant to which we may offer and sell through Canaccord Genuity LLC our common stock from time to time in “at the market” offerings.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75" w:name="S_LEGAL"/>
      <w:bookmarkEnd w:id="75"/>
      <w:r>
        <w:rPr>
          <w:rFonts w:ascii="Times New Roman;Times;serif" w:hAnsi="Times New Roman;Times;serif"/>
          <w:b/>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validity of the securities offered pursuant to this prospectus supplement will be passed upon by Dorsey &amp; Whitney LLP. The underwriters are being represented in connection with this offering by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6" w:name="S_EXPERTS"/>
      <w:bookmarkEnd w:id="76"/>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financial statements of Clene Inc. as of and for the years ended </w:t>
      </w:r>
      <w:bookmarkStart w:id="77" w:name="led401375F20248261727318324459"/>
      <w:bookmarkEnd w:id="77"/>
      <w:r>
        <w:rPr>
          <w:rFonts w:ascii="Times New Roman" w:hAnsi="Times New Roman"/>
          <w:caps w:val="false"/>
          <w:smallCaps w:val="false"/>
          <w:sz w:val="20"/>
        </w:rPr>
        <w:t>December 31, 2025 and </w:t>
      </w:r>
      <w:bookmarkStart w:id="78" w:name="led401375F20248261727318330059"/>
      <w:bookmarkEnd w:id="78"/>
      <w:r>
        <w:rPr>
          <w:rFonts w:ascii="Times New Roman" w:hAnsi="Times New Roman"/>
          <w:caps w:val="false"/>
          <w:smallCaps w:val="false"/>
          <w:sz w:val="20"/>
        </w:rPr>
        <w:t>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9" w:name="S_MORE_INFO"/>
      <w:bookmarkEnd w:id="79"/>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including exhibits, under the Securities Act, with respect to the securities offered pursuant to this prospectus supplement. This prospectus supplement is part of the registration statement, but does not contain all of the information included in the registration statement or the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supplement, and you should not consider it part of this prospectus supplement. We have included our website address in this prospectus supplement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0" w:name="S_INCORPORATION_BY_REFERENCE"/>
      <w:bookmarkEnd w:id="80"/>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supplement incorporates by reference the documents set forth below that have previously been filed with the SEC:</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w:t>
            </w:r>
            <w:hyperlink r:id="rId4">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xml:space="preserve"> for the year ended </w:t>
            </w:r>
            <w:bookmarkStart w:id="81" w:name="led401375F20248261727318833875"/>
            <w:bookmarkEnd w:id="81"/>
            <w:r>
              <w:rPr>
                <w:rFonts w:ascii="Times New Roman" w:hAnsi="Times New Roman"/>
                <w:caps w:val="false"/>
                <w:smallCaps w:val="false"/>
                <w:sz w:val="20"/>
              </w:rPr>
              <w:t>December 31, 2025, filed with the SEC on March 17,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filed with the SEC on </w:t>
            </w:r>
            <w:hyperlink r:id="rId5">
              <w:r>
                <w:rPr>
                  <w:rStyle w:val="InternetLink"/>
                  <w:rFonts w:ascii="Times New Roman" w:hAnsi="Times New Roman"/>
                  <w:caps w:val="false"/>
                  <w:smallCaps w:val="false"/>
                  <w:sz w:val="20"/>
                </w:rPr>
                <w:t>January 12, 2026</w:t>
              </w:r>
            </w:hyperlink>
            <w:r>
              <w:rPr>
                <w:rFonts w:ascii="Times New Roman" w:hAnsi="Times New Roman"/>
                <w:caps w:val="false"/>
                <w:smallCaps w:val="false"/>
                <w:sz w:val="20"/>
              </w:rPr>
              <w:t xml:space="preserve">, </w:t>
            </w:r>
            <w:hyperlink r:id="rId6">
              <w:r>
                <w:rPr>
                  <w:rStyle w:val="InternetLink"/>
                  <w:rFonts w:ascii="Times New Roman" w:hAnsi="Times New Roman"/>
                  <w:caps w:val="false"/>
                  <w:smallCaps w:val="false"/>
                  <w:sz w:val="20"/>
                </w:rPr>
                <w:t>January 13, 2026</w:t>
              </w:r>
            </w:hyperlink>
            <w:r>
              <w:rPr>
                <w:rFonts w:ascii="Times New Roman" w:hAnsi="Times New Roman"/>
                <w:caps w:val="false"/>
                <w:smallCaps w:val="false"/>
                <w:sz w:val="20"/>
              </w:rPr>
              <w:t xml:space="preserve">, </w:t>
            </w:r>
            <w:hyperlink r:id="rId7">
              <w:r>
                <w:rPr>
                  <w:rStyle w:val="InternetLink"/>
                  <w:rFonts w:ascii="Times New Roman" w:hAnsi="Times New Roman"/>
                  <w:caps w:val="false"/>
                  <w:smallCaps w:val="false"/>
                  <w:sz w:val="20"/>
                </w:rPr>
                <w:t>February 24, 2026</w:t>
              </w:r>
            </w:hyperlink>
            <w:r>
              <w:rPr>
                <w:rFonts w:ascii="Times New Roman" w:hAnsi="Times New Roman"/>
                <w:caps w:val="false"/>
                <w:smallCaps w:val="false"/>
                <w:sz w:val="20"/>
              </w:rPr>
              <w:t xml:space="preserve">, </w:t>
            </w:r>
            <w:hyperlink r:id="rId8">
              <w:r>
                <w:rPr>
                  <w:rStyle w:val="InternetLink"/>
                  <w:rFonts w:ascii="Times New Roman" w:hAnsi="Times New Roman"/>
                  <w:caps w:val="false"/>
                  <w:smallCaps w:val="false"/>
                  <w:sz w:val="20"/>
                </w:rPr>
                <w:t>March 17, 2026</w:t>
              </w:r>
            </w:hyperlink>
            <w:r>
              <w:rPr>
                <w:rFonts w:ascii="Times New Roman" w:hAnsi="Times New Roman"/>
                <w:caps w:val="false"/>
                <w:smallCaps w:val="false"/>
                <w:sz w:val="20"/>
              </w:rPr>
              <w:t xml:space="preserve">, and </w:t>
            </w:r>
            <w:hyperlink r:id="rId9">
              <w:r>
                <w:rPr>
                  <w:rStyle w:val="InternetLink"/>
                  <w:rFonts w:ascii="Times New Roman" w:hAnsi="Times New Roman"/>
                  <w:caps w:val="false"/>
                  <w:smallCaps w:val="false"/>
                  <w:sz w:val="20"/>
                </w:rPr>
                <w:t>May 4, 2026</w:t>
              </w:r>
            </w:hyperlink>
            <w:r>
              <w:rPr>
                <w:rFonts w:ascii="Times New Roman" w:hAnsi="Times New Roman"/>
                <w:caps w:val="false"/>
                <w:smallCaps w:val="false"/>
                <w:sz w:val="20"/>
              </w:rPr>
              <w:t xml:space="preserve"> (with respect to Item 8.01 only);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information specifically incorporated by reference into our Annual Report on </w:t>
            </w:r>
            <w:hyperlink r:id="rId10">
              <w:r>
                <w:rPr>
                  <w:rStyle w:val="InternetLink"/>
                  <w:rFonts w:ascii="Times New Roman" w:hAnsi="Times New Roman"/>
                  <w:caps w:val="false"/>
                  <w:smallCaps w:val="false"/>
                  <w:sz w:val="20"/>
                </w:rPr>
                <w:t>Form 10-K</w:t>
              </w:r>
            </w:hyperlink>
            <w:r>
              <w:rPr>
                <w:rFonts w:ascii="Times New Roman" w:hAnsi="Times New Roman"/>
                <w:caps w:val="false"/>
                <w:smallCaps w:val="false"/>
                <w:sz w:val="20"/>
              </w:rPr>
              <w:t xml:space="preserve"> for the year ended </w:t>
            </w:r>
            <w:bookmarkStart w:id="82" w:name="led401375F20248261727318850101"/>
            <w:bookmarkEnd w:id="82"/>
            <w:r>
              <w:rPr>
                <w:rFonts w:ascii="Times New Roman" w:hAnsi="Times New Roman"/>
                <w:caps w:val="false"/>
                <w:smallCaps w:val="false"/>
                <w:sz w:val="20"/>
              </w:rPr>
              <w:t xml:space="preserve">December 31, 2025 from our Definitive Proxy Statement on </w:t>
            </w:r>
            <w:hyperlink r:id="rId11">
              <w:r>
                <w:rPr>
                  <w:rStyle w:val="InternetLink"/>
                  <w:rFonts w:ascii="Times New Roman" w:hAnsi="Times New Roman"/>
                  <w:caps w:val="false"/>
                  <w:smallCaps w:val="false"/>
                  <w:sz w:val="20"/>
                </w:rPr>
                <w:t>Schedule 14A</w:t>
              </w:r>
            </w:hyperlink>
            <w:r>
              <w:rPr>
                <w:rFonts w:ascii="Times New Roman" w:hAnsi="Times New Roman"/>
                <w:caps w:val="false"/>
                <w:smallCaps w:val="false"/>
                <w:sz w:val="20"/>
              </w:rPr>
              <w:t>, filed with the SEC on April 10, 2026;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common stock contained in the registration statement on </w:t>
            </w:r>
            <w:hyperlink r:id="rId12">
              <w:r>
                <w:rPr>
                  <w:rStyle w:val="InternetLink"/>
                  <w:rFonts w:ascii="Times New Roman" w:hAnsi="Times New Roman"/>
                  <w:caps w:val="false"/>
                  <w:smallCaps w:val="false"/>
                  <w:sz w:val="20"/>
                  <w:u w:val="single"/>
                </w:rPr>
                <w:t>Form 8-A</w:t>
              </w:r>
            </w:hyperlink>
            <w:r>
              <w:rPr>
                <w:rFonts w:ascii="Times New Roman" w:hAnsi="Times New Roman"/>
                <w:caps w:val="false"/>
                <w:smallCaps w:val="false"/>
                <w:sz w:val="20"/>
              </w:rPr>
              <w:t xml:space="preserve">, dated December 30, 2020, filed pursuant to Section 12(b) of the Exchange Act, as amended by Amendment No. 1 to </w:t>
            </w:r>
            <w:hyperlink r:id="rId13">
              <w:r>
                <w:rPr>
                  <w:rStyle w:val="InternetLink"/>
                  <w:rFonts w:ascii="Times New Roman" w:hAnsi="Times New Roman"/>
                  <w:caps w:val="false"/>
                  <w:smallCaps w:val="false"/>
                  <w:sz w:val="20"/>
                  <w:u w:val="single"/>
                </w:rPr>
                <w:t>Form 8-A</w:t>
              </w:r>
            </w:hyperlink>
            <w:r>
              <w:rPr>
                <w:rFonts w:ascii="Times New Roman" w:hAnsi="Times New Roman"/>
                <w:caps w:val="false"/>
                <w:smallCaps w:val="false"/>
                <w:sz w:val="20"/>
              </w:rPr>
              <w:t>, dated February 9, 2021.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other documents.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supplement is delivered, a copy of any or all of the information that has been incorporated by reference in the prospectus supplement but not delivered with the prospectus supplement. You may request a copy of any documents incorporated by reference in this prospectus supplement and the accompanying base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Clene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Salt Lake City, Utah 84121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(801) 676-9695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supplement.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S-22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$160,000,000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6"/>
        </w:rPr>
      </w:pPr>
      <w:r>
        <w:rPr>
          <w:rFonts w:ascii="Times New Roman" w:hAnsi="Times New Roman"/>
          <w:b/>
          <w:caps w:val="false"/>
          <w:smallCaps w:val="false"/>
          <w:sz w:val="56"/>
        </w:rPr>
        <w:t>Clene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Common Stock</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Preferred Stock</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Debt Securities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Warrants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From time to time, we may offer and sell up to $160,000,000 aggregate dollar amount of our common stock, preferred stock, debt securities, warrants to purchase our common stock, preferred stock or debt securities, and/or units consisting of some or all of these securities, in any combination, together or separately, in one or more offerings, in amounts, at prices and on the terms that will be determined at the time of the offering and which will be set forth in a prospectus supplement. The prospectus supplement may also add, update or change information contained in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securities may be sold directly to investors, through agents designated from time to time or to or through underwriters or dealers, on a continuous or delayed basis. If any agents, underwriters or dealers are involved in the sale of any securities with respect to which this prospectus is being delivered, the names of such agents, underwriters or dealers and any applicable fees, commissions, discounts and over-allotment options will be set forth in a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read this prospectus and any prospectus supplement or amendment carefully before you invest in our securities. This prospectus may not be used to consummate sales of these securities unless it is accompanied by a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and public warrants are listed on the Nasdaq Capital Market (“Nasdaq”) under the symbols “CLNN” and “CLNNW,” respectively. On April 24, 2025, the last reported sale price of our common stock and public warrants on Nasdaq was $3.17 and $0.0345,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April 24, 2025, the aggregate market value of our common stock held by our non-affiliates, as calculated pursuant to the rules of the SEC, was approximately $34.7 million, based upon 7,568,652 shares of our outstanding common stock held by non-affiliates at the per share price of $4.58, the closing sale price of our common stock on Nasdaq on March 7, 2025 which is within 60 days of the date of this prospectus. Pursuant to General Instruction I.B.6 of Form S-3, in no event will we sell securities in a public offering with a value exceeding more than one-third of our “public float” (i.e., the market value of our common stock held by our non-affiliates) in any 12-month period so long as our public float remains below $75.0 million. We have sold $9.6 million of securities in reliance on General Instruction I.B.6 of Form S-3 during the 12 calendar months prior to and including the date of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Investing in our securities involves a high degree of risk. See “</w:t>
      </w:r>
      <w:r>
        <w:rPr>
          <w:rFonts w:ascii="Times New Roman" w:hAnsi="Times New Roman"/>
          <w:b/>
          <w:i/>
          <w:caps w:val="false"/>
          <w:smallCaps w:val="false"/>
          <w:sz w:val="20"/>
        </w:rPr>
        <w:t>Risk Factors”</w:t>
      </w:r>
      <w:r>
        <w:rPr>
          <w:rFonts w:ascii="Times New Roman" w:hAnsi="Times New Roman"/>
          <w:b/>
          <w:caps w:val="false"/>
          <w:smallCaps w:val="false"/>
          <w:sz w:val="20"/>
        </w:rPr>
        <w:t xml:space="preserve"> section on page 9 of this prospectus and other risk factors contained in any applicable prospectus supplement and in the documents incorporated by reference herein and therein.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that term is defined under the federal securities laws and, as such, we have elected to comply with certain reduced public company reporting requirements and may elect to do so in future filings.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date of this prospectus is April 25,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230"/>
        <w:gridCol w:w="380"/>
      </w:tblGrid>
      <w:tr>
        <w:trPr/>
        <w:tc>
          <w:tcPr>
            <w:tcW w:w="6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Page</w:t>
            </w:r>
          </w:p>
        </w:tc>
      </w:tr>
      <w:tr>
        <w:trPr/>
        <w:tc>
          <w:tcPr>
            <w:tcW w:w="6230" w:type="dxa"/>
            <w:tcBorders/>
            <w:shd w:fill="CCEEFF" w:val="clear"/>
            <w:vAlign w:val="center"/>
          </w:tcPr>
          <w:p>
            <w:pPr>
              <w:pStyle w:val="TableContents"/>
              <w:bidi w:val="0"/>
              <w:spacing w:before="0" w:after="0"/>
              <w:ind w:left="0" w:right="0" w:hanging="0"/>
              <w:jc w:val="left"/>
              <w:rPr/>
            </w:pPr>
            <w:hyperlink w:anchor="ABOUT_PROSPECTUS">
              <w:r>
                <w:rPr>
                  <w:rStyle w:val="InternetLink"/>
                  <w:rFonts w:ascii="Times New Roman" w:hAnsi="Times New Roman"/>
                  <w:caps w:val="false"/>
                  <w:smallCaps w:val="false"/>
                  <w:sz w:val="20"/>
                  <w:u w:val="single"/>
                </w:rPr>
                <w:t>ABOUT THIS PROSPECTUS</w:t>
              </w:r>
            </w:hyperlink>
          </w:p>
        </w:tc>
        <w:tc>
          <w:tcPr>
            <w:tcW w:w="380" w:type="dxa"/>
            <w:tcBorders/>
            <w:shd w:fill="CCEEFF" w:val="clear"/>
            <w:vAlign w:val="center"/>
          </w:tcPr>
          <w:p>
            <w:pPr>
              <w:pStyle w:val="TableContents"/>
              <w:bidi w:val="0"/>
              <w:spacing w:before="0" w:after="283"/>
              <w:jc w:val="center"/>
              <w:rPr/>
            </w:pPr>
            <w:hyperlink w:anchor="ABOUT_PROSPECTUS">
              <w:r>
                <w:rPr>
                  <w:rStyle w:val="InternetLink"/>
                  <w:u w:val="single"/>
                </w:rPr>
                <w:t>1</w:t>
              </w:r>
            </w:hyperlink>
          </w:p>
        </w:tc>
      </w:tr>
      <w:tr>
        <w:trPr/>
        <w:tc>
          <w:tcPr>
            <w:tcW w:w="6230" w:type="dxa"/>
            <w:tcBorders/>
            <w:shd w:fill="FFFFFF" w:val="clear"/>
            <w:vAlign w:val="center"/>
          </w:tcPr>
          <w:p>
            <w:pPr>
              <w:pStyle w:val="TableContents"/>
              <w:bidi w:val="0"/>
              <w:spacing w:before="0" w:after="0"/>
              <w:ind w:left="0" w:right="0" w:hanging="0"/>
              <w:jc w:val="left"/>
              <w:rPr/>
            </w:pPr>
            <w:hyperlink w:anchor="CAUTIONARY_NOTE">
              <w:r>
                <w:rPr>
                  <w:rStyle w:val="InternetLink"/>
                  <w:rFonts w:ascii="Times New Roman" w:hAnsi="Times New Roman"/>
                  <w:caps w:val="false"/>
                  <w:smallCaps w:val="false"/>
                  <w:sz w:val="20"/>
                  <w:u w:val="single"/>
                </w:rPr>
                <w:t>CAUTIONARY NOTE REGARDING FORWARD-LOOKING STATEMENTS</w:t>
              </w:r>
            </w:hyperlink>
          </w:p>
        </w:tc>
        <w:tc>
          <w:tcPr>
            <w:tcW w:w="380" w:type="dxa"/>
            <w:tcBorders/>
            <w:shd w:fill="FFFFFF" w:val="clear"/>
            <w:vAlign w:val="center"/>
          </w:tcPr>
          <w:p>
            <w:pPr>
              <w:pStyle w:val="TableContents"/>
              <w:bidi w:val="0"/>
              <w:spacing w:before="0" w:after="283"/>
              <w:jc w:val="center"/>
              <w:rPr/>
            </w:pPr>
            <w:hyperlink w:anchor="CAUTIONARY_NOTE">
              <w:r>
                <w:rPr>
                  <w:rStyle w:val="InternetLink"/>
                  <w:u w:val="single"/>
                </w:rPr>
                <w:t>2</w:t>
              </w:r>
            </w:hyperlink>
          </w:p>
        </w:tc>
      </w:tr>
      <w:tr>
        <w:trPr/>
        <w:tc>
          <w:tcPr>
            <w:tcW w:w="6230" w:type="dxa"/>
            <w:tcBorders/>
            <w:shd w:fill="CCEEFF" w:val="clear"/>
            <w:vAlign w:val="center"/>
          </w:tcPr>
          <w:p>
            <w:pPr>
              <w:pStyle w:val="TableContents"/>
              <w:bidi w:val="0"/>
              <w:spacing w:before="0" w:after="0"/>
              <w:ind w:left="0" w:right="0" w:hanging="0"/>
              <w:jc w:val="left"/>
              <w:rPr/>
            </w:pPr>
            <w:hyperlink w:anchor="MARKET_DATA">
              <w:r>
                <w:rPr>
                  <w:rStyle w:val="InternetLink"/>
                  <w:rFonts w:ascii="Times New Roman" w:hAnsi="Times New Roman"/>
                  <w:caps w:val="false"/>
                  <w:smallCaps w:val="false"/>
                  <w:sz w:val="20"/>
                  <w:u w:val="single"/>
                </w:rPr>
                <w:t>MARKET AND INDUSTRY DATA</w:t>
              </w:r>
            </w:hyperlink>
          </w:p>
        </w:tc>
        <w:tc>
          <w:tcPr>
            <w:tcW w:w="380" w:type="dxa"/>
            <w:tcBorders/>
            <w:shd w:fill="CCEEFF" w:val="clear"/>
            <w:vAlign w:val="center"/>
          </w:tcPr>
          <w:p>
            <w:pPr>
              <w:pStyle w:val="TableContents"/>
              <w:bidi w:val="0"/>
              <w:spacing w:before="0" w:after="283"/>
              <w:jc w:val="center"/>
              <w:rPr/>
            </w:pPr>
            <w:hyperlink w:anchor="MARKET_DATA">
              <w:r>
                <w:rPr>
                  <w:rStyle w:val="InternetLink"/>
                  <w:u w:val="single"/>
                </w:rPr>
                <w:t>4</w:t>
              </w:r>
            </w:hyperlink>
          </w:p>
        </w:tc>
      </w:tr>
      <w:tr>
        <w:trPr/>
        <w:tc>
          <w:tcPr>
            <w:tcW w:w="6230" w:type="dxa"/>
            <w:tcBorders/>
            <w:shd w:fill="FFFFFF" w:val="clear"/>
            <w:vAlign w:val="center"/>
          </w:tcPr>
          <w:p>
            <w:pPr>
              <w:pStyle w:val="TableContents"/>
              <w:bidi w:val="0"/>
              <w:spacing w:before="0" w:after="0"/>
              <w:ind w:left="0" w:right="0" w:hanging="0"/>
              <w:jc w:val="left"/>
              <w:rPr/>
            </w:pPr>
            <w:hyperlink w:anchor="SUMMARY">
              <w:r>
                <w:rPr>
                  <w:rStyle w:val="InternetLink"/>
                  <w:rFonts w:ascii="Times New Roman" w:hAnsi="Times New Roman"/>
                  <w:caps w:val="false"/>
                  <w:smallCaps w:val="false"/>
                  <w:sz w:val="20"/>
                  <w:u w:val="single"/>
                </w:rPr>
                <w:t>PROSPECTUS SUMMARY</w:t>
              </w:r>
            </w:hyperlink>
          </w:p>
        </w:tc>
        <w:tc>
          <w:tcPr>
            <w:tcW w:w="380" w:type="dxa"/>
            <w:tcBorders/>
            <w:shd w:fill="FFFFFF" w:val="clear"/>
            <w:vAlign w:val="center"/>
          </w:tcPr>
          <w:p>
            <w:pPr>
              <w:pStyle w:val="TableContents"/>
              <w:bidi w:val="0"/>
              <w:spacing w:before="0" w:after="283"/>
              <w:jc w:val="center"/>
              <w:rPr/>
            </w:pPr>
            <w:hyperlink w:anchor="SUMMARY">
              <w:r>
                <w:rPr>
                  <w:rStyle w:val="InternetLink"/>
                  <w:u w:val="single"/>
                </w:rPr>
                <w:t>5</w:t>
              </w:r>
            </w:hyperlink>
          </w:p>
        </w:tc>
      </w:tr>
      <w:tr>
        <w:trPr/>
        <w:tc>
          <w:tcPr>
            <w:tcW w:w="6230" w:type="dxa"/>
            <w:tcBorders/>
            <w:shd w:fill="CCEEFF" w:val="clear"/>
            <w:vAlign w:val="center"/>
          </w:tcPr>
          <w:p>
            <w:pPr>
              <w:pStyle w:val="TableContents"/>
              <w:bidi w:val="0"/>
              <w:spacing w:before="0" w:after="0"/>
              <w:ind w:left="0" w:right="0" w:hanging="0"/>
              <w:jc w:val="left"/>
              <w:rPr/>
            </w:pPr>
            <w:hyperlink w:anchor="RISK_FACTORS">
              <w:r>
                <w:rPr>
                  <w:rStyle w:val="InternetLink"/>
                  <w:rFonts w:ascii="Times New Roman" w:hAnsi="Times New Roman"/>
                  <w:caps w:val="false"/>
                  <w:smallCaps w:val="false"/>
                  <w:sz w:val="20"/>
                  <w:u w:val="single"/>
                </w:rPr>
                <w:t>RISK FACTORS</w:t>
              </w:r>
            </w:hyperlink>
          </w:p>
        </w:tc>
        <w:tc>
          <w:tcPr>
            <w:tcW w:w="380" w:type="dxa"/>
            <w:tcBorders/>
            <w:shd w:fill="CCEEFF" w:val="clear"/>
            <w:vAlign w:val="center"/>
          </w:tcPr>
          <w:p>
            <w:pPr>
              <w:pStyle w:val="TableContents"/>
              <w:bidi w:val="0"/>
              <w:spacing w:before="0" w:after="283"/>
              <w:jc w:val="center"/>
              <w:rPr/>
            </w:pPr>
            <w:hyperlink w:anchor="RISK_FACTORS">
              <w:r>
                <w:rPr>
                  <w:rStyle w:val="InternetLink"/>
                  <w:u w:val="single"/>
                </w:rPr>
                <w:t>9</w:t>
              </w:r>
            </w:hyperlink>
          </w:p>
        </w:tc>
      </w:tr>
      <w:tr>
        <w:trPr/>
        <w:tc>
          <w:tcPr>
            <w:tcW w:w="6230" w:type="dxa"/>
            <w:tcBorders/>
            <w:shd w:fill="FFFFFF" w:val="clear"/>
            <w:vAlign w:val="center"/>
          </w:tcPr>
          <w:p>
            <w:pPr>
              <w:pStyle w:val="TableContents"/>
              <w:bidi w:val="0"/>
              <w:spacing w:before="0" w:after="0"/>
              <w:ind w:left="0" w:right="0" w:hanging="0"/>
              <w:jc w:val="left"/>
              <w:rPr/>
            </w:pPr>
            <w:hyperlink w:anchor="PROCEEDS">
              <w:r>
                <w:rPr>
                  <w:rStyle w:val="InternetLink"/>
                  <w:rFonts w:ascii="Times New Roman" w:hAnsi="Times New Roman"/>
                  <w:caps w:val="false"/>
                  <w:smallCaps w:val="false"/>
                  <w:sz w:val="20"/>
                  <w:u w:val="single"/>
                </w:rPr>
                <w:t>USE OF PROCEEDS</w:t>
              </w:r>
            </w:hyperlink>
          </w:p>
        </w:tc>
        <w:tc>
          <w:tcPr>
            <w:tcW w:w="380" w:type="dxa"/>
            <w:tcBorders/>
            <w:shd w:fill="FFFFFF" w:val="clear"/>
            <w:vAlign w:val="center"/>
          </w:tcPr>
          <w:p>
            <w:pPr>
              <w:pStyle w:val="TableContents"/>
              <w:bidi w:val="0"/>
              <w:spacing w:before="0" w:after="283"/>
              <w:jc w:val="center"/>
              <w:rPr/>
            </w:pPr>
            <w:hyperlink w:anchor="PROCEEDS">
              <w:r>
                <w:rPr>
                  <w:rStyle w:val="InternetLink"/>
                  <w:u w:val="single"/>
                </w:rPr>
                <w:t>10</w:t>
              </w:r>
            </w:hyperlink>
          </w:p>
        </w:tc>
      </w:tr>
      <w:tr>
        <w:trPr/>
        <w:tc>
          <w:tcPr>
            <w:tcW w:w="6230" w:type="dxa"/>
            <w:tcBorders/>
            <w:shd w:fill="CCEEFF" w:val="clear"/>
            <w:vAlign w:val="center"/>
          </w:tcPr>
          <w:p>
            <w:pPr>
              <w:pStyle w:val="TableContents"/>
              <w:bidi w:val="0"/>
              <w:spacing w:before="0" w:after="0"/>
              <w:ind w:left="0" w:right="0" w:hanging="0"/>
              <w:jc w:val="left"/>
              <w:rPr/>
            </w:pPr>
            <w:hyperlink w:anchor="CAPITAL_STOCK">
              <w:r>
                <w:rPr>
                  <w:rStyle w:val="InternetLink"/>
                  <w:rFonts w:ascii="Times New Roman" w:hAnsi="Times New Roman"/>
                  <w:caps w:val="false"/>
                  <w:smallCaps w:val="false"/>
                  <w:sz w:val="20"/>
                  <w:u w:val="single"/>
                </w:rPr>
                <w:t>DESCRIPTION OF CAPITAL STOCK</w:t>
              </w:r>
            </w:hyperlink>
          </w:p>
        </w:tc>
        <w:tc>
          <w:tcPr>
            <w:tcW w:w="380" w:type="dxa"/>
            <w:tcBorders/>
            <w:shd w:fill="CCEEFF" w:val="clear"/>
            <w:vAlign w:val="center"/>
          </w:tcPr>
          <w:p>
            <w:pPr>
              <w:pStyle w:val="TableContents"/>
              <w:bidi w:val="0"/>
              <w:spacing w:before="0" w:after="283"/>
              <w:jc w:val="center"/>
              <w:rPr/>
            </w:pPr>
            <w:hyperlink w:anchor="CAPITAL_STOCK">
              <w:r>
                <w:rPr>
                  <w:rStyle w:val="InternetLink"/>
                  <w:u w:val="single"/>
                </w:rPr>
                <w:t>11</w:t>
              </w:r>
            </w:hyperlink>
          </w:p>
        </w:tc>
      </w:tr>
      <w:tr>
        <w:trPr/>
        <w:tc>
          <w:tcPr>
            <w:tcW w:w="6230" w:type="dxa"/>
            <w:tcBorders/>
            <w:shd w:fill="FFFFFF" w:val="clear"/>
            <w:vAlign w:val="center"/>
          </w:tcPr>
          <w:p>
            <w:pPr>
              <w:pStyle w:val="TableContents"/>
              <w:bidi w:val="0"/>
              <w:spacing w:before="0" w:after="0"/>
              <w:ind w:left="0" w:right="0" w:hanging="0"/>
              <w:jc w:val="left"/>
              <w:rPr/>
            </w:pPr>
            <w:hyperlink w:anchor="DEBT_SECURITIES">
              <w:r>
                <w:rPr>
                  <w:rStyle w:val="InternetLink"/>
                  <w:rFonts w:ascii="Times New Roman" w:hAnsi="Times New Roman"/>
                  <w:caps w:val="false"/>
                  <w:smallCaps w:val="false"/>
                  <w:sz w:val="20"/>
                  <w:u w:val="single"/>
                </w:rPr>
                <w:t>DESCRIPTION OF DEBT SECURITIES</w:t>
              </w:r>
            </w:hyperlink>
          </w:p>
        </w:tc>
        <w:tc>
          <w:tcPr>
            <w:tcW w:w="380" w:type="dxa"/>
            <w:tcBorders/>
            <w:shd w:fill="FFFFFF" w:val="clear"/>
            <w:vAlign w:val="center"/>
          </w:tcPr>
          <w:p>
            <w:pPr>
              <w:pStyle w:val="TableContents"/>
              <w:bidi w:val="0"/>
              <w:spacing w:before="0" w:after="283"/>
              <w:jc w:val="center"/>
              <w:rPr/>
            </w:pPr>
            <w:hyperlink w:anchor="DEBT_SECURITIES">
              <w:r>
                <w:rPr>
                  <w:rStyle w:val="InternetLink"/>
                  <w:u w:val="single"/>
                </w:rPr>
                <w:t>16</w:t>
              </w:r>
            </w:hyperlink>
          </w:p>
        </w:tc>
      </w:tr>
      <w:tr>
        <w:trPr/>
        <w:tc>
          <w:tcPr>
            <w:tcW w:w="6230" w:type="dxa"/>
            <w:tcBorders/>
            <w:shd w:fill="CCEEFF" w:val="clear"/>
            <w:vAlign w:val="center"/>
          </w:tcPr>
          <w:p>
            <w:pPr>
              <w:pStyle w:val="TableContents"/>
              <w:bidi w:val="0"/>
              <w:spacing w:before="0" w:after="0"/>
              <w:ind w:left="0" w:right="0" w:hanging="0"/>
              <w:jc w:val="left"/>
              <w:rPr/>
            </w:pPr>
            <w:hyperlink w:anchor="WARRANTS">
              <w:r>
                <w:rPr>
                  <w:rStyle w:val="InternetLink"/>
                  <w:rFonts w:ascii="Times New Roman" w:hAnsi="Times New Roman"/>
                  <w:caps w:val="false"/>
                  <w:smallCaps w:val="false"/>
                  <w:sz w:val="20"/>
                  <w:u w:val="single"/>
                </w:rPr>
                <w:t>DESCRIPTION OF WARRANTS</w:t>
              </w:r>
            </w:hyperlink>
          </w:p>
        </w:tc>
        <w:tc>
          <w:tcPr>
            <w:tcW w:w="380" w:type="dxa"/>
            <w:tcBorders/>
            <w:shd w:fill="CCEEFF" w:val="clear"/>
            <w:vAlign w:val="center"/>
          </w:tcPr>
          <w:p>
            <w:pPr>
              <w:pStyle w:val="TableContents"/>
              <w:bidi w:val="0"/>
              <w:spacing w:before="0" w:after="283"/>
              <w:jc w:val="center"/>
              <w:rPr/>
            </w:pPr>
            <w:hyperlink w:anchor="WARRANTS">
              <w:r>
                <w:rPr>
                  <w:rStyle w:val="InternetLink"/>
                  <w:u w:val="single"/>
                </w:rPr>
                <w:t>22</w:t>
              </w:r>
            </w:hyperlink>
          </w:p>
        </w:tc>
      </w:tr>
      <w:tr>
        <w:trPr/>
        <w:tc>
          <w:tcPr>
            <w:tcW w:w="6230" w:type="dxa"/>
            <w:tcBorders/>
            <w:shd w:fill="FFFFFF" w:val="clear"/>
            <w:vAlign w:val="center"/>
          </w:tcPr>
          <w:p>
            <w:pPr>
              <w:pStyle w:val="TableContents"/>
              <w:bidi w:val="0"/>
              <w:spacing w:before="0" w:after="0"/>
              <w:ind w:left="0" w:right="0" w:hanging="0"/>
              <w:jc w:val="left"/>
              <w:rPr/>
            </w:pPr>
            <w:hyperlink w:anchor="UNITS">
              <w:r>
                <w:rPr>
                  <w:rStyle w:val="InternetLink"/>
                  <w:rFonts w:ascii="Times New Roman" w:hAnsi="Times New Roman"/>
                  <w:caps w:val="false"/>
                  <w:smallCaps w:val="false"/>
                  <w:sz w:val="20"/>
                  <w:u w:val="single"/>
                </w:rPr>
                <w:t>DESCRIPTION OF UNITS</w:t>
              </w:r>
            </w:hyperlink>
          </w:p>
        </w:tc>
        <w:tc>
          <w:tcPr>
            <w:tcW w:w="380" w:type="dxa"/>
            <w:tcBorders/>
            <w:shd w:fill="FFFFFF" w:val="clear"/>
            <w:vAlign w:val="center"/>
          </w:tcPr>
          <w:p>
            <w:pPr>
              <w:pStyle w:val="TableContents"/>
              <w:bidi w:val="0"/>
              <w:spacing w:before="0" w:after="283"/>
              <w:jc w:val="center"/>
              <w:rPr/>
            </w:pPr>
            <w:hyperlink w:anchor="UNITS">
              <w:r>
                <w:rPr>
                  <w:rStyle w:val="InternetLink"/>
                  <w:u w:val="single"/>
                </w:rPr>
                <w:t>23</w:t>
              </w:r>
            </w:hyperlink>
          </w:p>
        </w:tc>
      </w:tr>
      <w:tr>
        <w:trPr/>
        <w:tc>
          <w:tcPr>
            <w:tcW w:w="6230" w:type="dxa"/>
            <w:tcBorders/>
            <w:shd w:fill="CCEEFF" w:val="clear"/>
            <w:vAlign w:val="center"/>
          </w:tcPr>
          <w:p>
            <w:pPr>
              <w:pStyle w:val="TableContents"/>
              <w:bidi w:val="0"/>
              <w:spacing w:before="0" w:after="0"/>
              <w:ind w:left="0" w:right="0" w:hanging="0"/>
              <w:jc w:val="left"/>
              <w:rPr/>
            </w:pPr>
            <w:hyperlink w:anchor="DISTRIBUTION">
              <w:r>
                <w:rPr>
                  <w:rStyle w:val="InternetLink"/>
                  <w:rFonts w:ascii="Times New Roman" w:hAnsi="Times New Roman"/>
                  <w:caps w:val="false"/>
                  <w:smallCaps w:val="false"/>
                  <w:sz w:val="20"/>
                  <w:u w:val="single"/>
                </w:rPr>
                <w:t>PLAN OF DISTRIBUTION</w:t>
              </w:r>
            </w:hyperlink>
          </w:p>
        </w:tc>
        <w:tc>
          <w:tcPr>
            <w:tcW w:w="380" w:type="dxa"/>
            <w:tcBorders/>
            <w:shd w:fill="CCEEFF" w:val="clear"/>
            <w:vAlign w:val="center"/>
          </w:tcPr>
          <w:p>
            <w:pPr>
              <w:pStyle w:val="TableContents"/>
              <w:bidi w:val="0"/>
              <w:spacing w:before="0" w:after="283"/>
              <w:jc w:val="center"/>
              <w:rPr/>
            </w:pPr>
            <w:hyperlink w:anchor="DISTRIBUTION">
              <w:r>
                <w:rPr>
                  <w:rStyle w:val="InternetLink"/>
                  <w:u w:val="single"/>
                </w:rPr>
                <w:t>24</w:t>
              </w:r>
            </w:hyperlink>
          </w:p>
        </w:tc>
      </w:tr>
      <w:tr>
        <w:trPr/>
        <w:tc>
          <w:tcPr>
            <w:tcW w:w="623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MATTERS</w:t>
              </w:r>
            </w:hyperlink>
          </w:p>
        </w:tc>
        <w:tc>
          <w:tcPr>
            <w:tcW w:w="380" w:type="dxa"/>
            <w:tcBorders/>
            <w:shd w:fill="FFFFFF" w:val="clear"/>
            <w:vAlign w:val="center"/>
          </w:tcPr>
          <w:p>
            <w:pPr>
              <w:pStyle w:val="TableContents"/>
              <w:bidi w:val="0"/>
              <w:spacing w:before="0" w:after="283"/>
              <w:jc w:val="center"/>
              <w:rPr/>
            </w:pPr>
            <w:hyperlink w:anchor="LEGAL">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EXPERTS">
              <w:r>
                <w:rPr>
                  <w:rStyle w:val="InternetLink"/>
                  <w:rFonts w:ascii="Times New Roman" w:hAnsi="Times New Roman"/>
                  <w:caps w:val="false"/>
                  <w:smallCaps w:val="false"/>
                  <w:sz w:val="20"/>
                  <w:u w:val="single"/>
                </w:rPr>
                <w:t>EXPERTS</w:t>
              </w:r>
            </w:hyperlink>
          </w:p>
        </w:tc>
        <w:tc>
          <w:tcPr>
            <w:tcW w:w="380" w:type="dxa"/>
            <w:tcBorders/>
            <w:shd w:fill="CCEEFF" w:val="clear"/>
            <w:vAlign w:val="center"/>
          </w:tcPr>
          <w:p>
            <w:pPr>
              <w:pStyle w:val="TableContents"/>
              <w:bidi w:val="0"/>
              <w:spacing w:before="0" w:after="283"/>
              <w:jc w:val="center"/>
              <w:rPr/>
            </w:pPr>
            <w:hyperlink w:anchor="EXPERTS">
              <w:r>
                <w:rPr>
                  <w:rStyle w:val="InternetLink"/>
                  <w:u w:val="single"/>
                </w:rPr>
                <w:t>26</w:t>
              </w:r>
            </w:hyperlink>
          </w:p>
        </w:tc>
      </w:tr>
      <w:tr>
        <w:trPr/>
        <w:tc>
          <w:tcPr>
            <w:tcW w:w="6230" w:type="dxa"/>
            <w:tcBorders/>
            <w:shd w:fill="FFFFFF" w:val="clear"/>
            <w:vAlign w:val="center"/>
          </w:tcPr>
          <w:p>
            <w:pPr>
              <w:pStyle w:val="TableContents"/>
              <w:bidi w:val="0"/>
              <w:spacing w:before="0" w:after="0"/>
              <w:ind w:left="0" w:right="0" w:hanging="0"/>
              <w:jc w:val="left"/>
              <w:rPr/>
            </w:pPr>
            <w:hyperlink w:anchor="MORE_INFO">
              <w:r>
                <w:rPr>
                  <w:rStyle w:val="InternetLink"/>
                  <w:rFonts w:ascii="Times New Roman" w:hAnsi="Times New Roman"/>
                  <w:caps w:val="false"/>
                  <w:smallCaps w:val="false"/>
                  <w:sz w:val="20"/>
                  <w:u w:val="single"/>
                </w:rPr>
                <w:t>WHERE YOU CAN FIND MORE INFORMATION</w:t>
              </w:r>
            </w:hyperlink>
          </w:p>
        </w:tc>
        <w:tc>
          <w:tcPr>
            <w:tcW w:w="380" w:type="dxa"/>
            <w:tcBorders/>
            <w:shd w:fill="FFFFFF" w:val="clear"/>
            <w:vAlign w:val="center"/>
          </w:tcPr>
          <w:p>
            <w:pPr>
              <w:pStyle w:val="TableContents"/>
              <w:bidi w:val="0"/>
              <w:spacing w:before="0" w:after="283"/>
              <w:jc w:val="center"/>
              <w:rPr/>
            </w:pPr>
            <w:hyperlink w:anchor="MORE_INFO">
              <w:r>
                <w:rPr>
                  <w:rStyle w:val="InternetLink"/>
                  <w:u w:val="single"/>
                </w:rPr>
                <w:t>26</w:t>
              </w:r>
            </w:hyperlink>
          </w:p>
        </w:tc>
      </w:tr>
      <w:tr>
        <w:trPr/>
        <w:tc>
          <w:tcPr>
            <w:tcW w:w="6230" w:type="dxa"/>
            <w:tcBorders/>
            <w:shd w:fill="CCEEFF" w:val="clear"/>
            <w:vAlign w:val="center"/>
          </w:tcPr>
          <w:p>
            <w:pPr>
              <w:pStyle w:val="TableContents"/>
              <w:bidi w:val="0"/>
              <w:spacing w:before="0" w:after="0"/>
              <w:ind w:left="0" w:right="0" w:hanging="0"/>
              <w:jc w:val="left"/>
              <w:rPr/>
            </w:pPr>
            <w:hyperlink w:anchor="INCORPORATION_BY_REFERENCE">
              <w:r>
                <w:rPr>
                  <w:rStyle w:val="InternetLink"/>
                  <w:rFonts w:ascii="Times New Roman" w:hAnsi="Times New Roman"/>
                  <w:caps w:val="false"/>
                  <w:smallCaps w:val="false"/>
                  <w:sz w:val="20"/>
                  <w:u w:val="single"/>
                </w:rPr>
                <w:t>INFORMATION INCORPORATED BY REFERENCE</w:t>
              </w:r>
            </w:hyperlink>
          </w:p>
        </w:tc>
        <w:tc>
          <w:tcPr>
            <w:tcW w:w="380" w:type="dxa"/>
            <w:tcBorders/>
            <w:shd w:fill="CCEEFF" w:val="clear"/>
            <w:vAlign w:val="center"/>
          </w:tcPr>
          <w:p>
            <w:pPr>
              <w:pStyle w:val="TableContents"/>
              <w:bidi w:val="0"/>
              <w:spacing w:before="0" w:after="283"/>
              <w:jc w:val="center"/>
              <w:rPr/>
            </w:pPr>
            <w:hyperlink w:anchor="INCORPORATION_BY_REFERENCE">
              <w:r>
                <w:rPr>
                  <w:rStyle w:val="InternetLink"/>
                  <w:u w:val="single"/>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3" w:name="ABOUT_PROSPECTUS"/>
      <w:bookmarkEnd w:id="83"/>
      <w:r>
        <w:rPr>
          <w:rFonts w:ascii="Times New Roman;Times;serif" w:hAnsi="Times New Roman;Times;serif"/>
          <w:b/>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on Form S-3 (the “Registration Statement”) that we filed with the U.S. Securities and Exchange Commission (“SEC”) using the “shelf” registration process. Under this shelf registration process, we may offer and sell shares of our common stock, preferred stock, debt securities, warrants to purchase our common stock, preferred stock or debt securities, and/or units, either individually or in combination with other securities, in one or more offerings, up to a total dollar amount of $160,000,000.</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provides you with a general description of the securities we may offer. Each time we offer securities under this prospectus, we will provide a prospectus supplement that will contain more specific information about the terms of that offering. The prospectus supplement may also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together with the information incorporated by reference as described in the section of this prospectus entitled “</w:t>
      </w:r>
      <w:r>
        <w:rPr>
          <w:rFonts w:ascii="Times New Roman" w:hAnsi="Times New Roman"/>
          <w:i/>
          <w:caps w:val="false"/>
          <w:smallCaps w:val="false"/>
          <w:sz w:val="20"/>
        </w:rPr>
        <w:t>Information Incorporated By Reference</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incorporated by reference or set forth in this prospectus or the applicable prospectus supplement. We have not authorized anyone to provide you with any information or to make any representations other than those contained in this prospectus, or any applicable prospectus supplement or post-effective amendment to the Registration Statement.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For investors outside of the United States: We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securities and the distribution of this prospectus outside of the United States.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urge you to read carefully this prospectus, before deciding whether to invest in the securities being offered.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b/>
          <w:caps w:val="false"/>
          <w:smallCaps w:val="false"/>
          <w:sz w:val="20"/>
        </w:rPr>
      </w:pPr>
      <w:r>
        <w:rPr>
          <w:rFonts w:ascii="Times New Roman" w:hAnsi="Times New Roman"/>
          <w:b/>
          <w:caps w:val="false"/>
          <w:smallCaps w:val="false"/>
          <w:sz w:val="20"/>
        </w:rPr>
        <w:t>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4" w:name="CAUTIONARY_NOTE"/>
      <w:bookmarkEnd w:id="84"/>
      <w:r>
        <w:rPr>
          <w:rFonts w:ascii="Times New Roman;Times;serif" w:hAnsi="Times New Roman;Times;serif"/>
          <w:b/>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any prospectus supplement and the other documents we have filed with the SEC that are incorporated by reference herein contain forward-looking statements within the meaning of Section 21E of the Securities Exchange Act of 1934, as amended (the “Exchange Act”), and Section 27A of the Securities Act of 1933, as amended (the “Securities Act”). Our forward-looking statements include, but are not limited to, statements regarding our or our management team’s expectations, hopes, beliefs, intentions or strategies regarding our future operations.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pStyle w:val="TextBody"/>
        <w:bidi w:val="0"/>
        <w:spacing w:before="0" w:after="0"/>
        <w:ind w:left="0" w:right="0" w:firstLine="42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financial performance, including our ability to continue as a going concern;</w:t>
            </w:r>
          </w:p>
        </w:tc>
      </w:tr>
    </w:tbl>
    <w:p>
      <w:pPr>
        <w:pStyle w:val="TextBody"/>
        <w:bidi w:val="0"/>
        <w:spacing w:before="0" w:after="0"/>
        <w:ind w:left="0" w:right="0" w:firstLine="42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0"/>
        <w:gridCol w:w="170"/>
        <w:gridCol w:w="4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raise additional funding;</w:t>
            </w:r>
          </w:p>
        </w:tc>
      </w:tr>
    </w:tbl>
    <w:p>
      <w:pPr>
        <w:pStyle w:val="TextBody"/>
        <w:bidi w:val="0"/>
        <w:spacing w:before="0" w:after="0"/>
        <w:ind w:left="0" w:right="0" w:firstLine="42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likelihood of commercial success for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4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plans and strategies to obtain and maintain regulatory approvals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size and growth potential of the markets for our drug candidates, and our ability to serve those markets, either alone or in combination with others;</w:t>
            </w:r>
          </w:p>
        </w:tc>
      </w:tr>
    </w:tbl>
    <w:p>
      <w:pPr>
        <w:pStyle w:val="TextBody"/>
        <w:bidi w:val="0"/>
        <w:spacing w:before="0" w:after="0"/>
        <w:ind w:left="0" w:right="0" w:firstLine="42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market for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expansion plans and opportunities; and</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factors detailed under “</w:t>
            </w:r>
            <w:r>
              <w:rPr>
                <w:rFonts w:ascii="Times New Roman;Times;serif" w:hAnsi="Times New Roman;Times;serif"/>
                <w:i/>
                <w:sz w:val="20"/>
              </w:rPr>
              <w:t>Risk Factors</w:t>
            </w:r>
            <w:r>
              <w:rPr>
                <w:rFonts w:ascii="Times New Roman;Times;serif" w:hAnsi="Times New Roman;Times;serif"/>
                <w:sz w:val="20"/>
              </w:rPr>
              <w:t>” in our most recent Annual Report on Form 10-K and any subsequent Quarterly Reports on Form 10-Q.</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These forward-looking statements represent our views as of the date of this prospectus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4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substantial dependence on the successful commercialization of our drug candidates, if approved, in the future;</w:t>
            </w:r>
          </w:p>
        </w:tc>
      </w:tr>
    </w:tbl>
    <w:p>
      <w:pPr>
        <w:pStyle w:val="TextBody"/>
        <w:bidi w:val="0"/>
        <w:spacing w:before="0" w:after="0"/>
        <w:ind w:left="0" w:right="0" w:firstLine="42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60"/>
        <w:gridCol w:w="170"/>
        <w:gridCol w:w="4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significant net losses and net operating cash outflows;</w:t>
            </w:r>
          </w:p>
        </w:tc>
      </w:tr>
    </w:tbl>
    <w:p>
      <w:pPr>
        <w:pStyle w:val="TextBody"/>
        <w:bidi w:val="0"/>
        <w:spacing w:before="0" w:after="0"/>
        <w:ind w:left="0" w:right="0" w:firstLine="42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9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demonstrate the efficacy and safety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60"/>
        <w:gridCol w:w="170"/>
        <w:gridCol w:w="8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results for our drug candidates, which may not support further development or marketing approval;</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actions of regulatory agencies, which may affect the initiation, timing, and progress of clinical trials and marketing approval;</w:t>
            </w:r>
          </w:p>
        </w:tc>
      </w:tr>
    </w:tbl>
    <w:p>
      <w:pPr>
        <w:pStyle w:val="TextBody"/>
        <w:bidi w:val="0"/>
        <w:spacing w:before="0" w:after="0"/>
        <w:ind w:left="0" w:right="0" w:firstLine="42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achieve commercial success for our drug candidates, if approved;</w:t>
            </w:r>
          </w:p>
        </w:tc>
      </w:tr>
    </w:tbl>
    <w:p>
      <w:pPr>
        <w:pStyle w:val="TextBody"/>
        <w:bidi w:val="0"/>
        <w:spacing w:before="0" w:after="0"/>
        <w:ind w:left="0" w:right="0" w:firstLine="42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obtain and maintain protection of intellectual property for our technology and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reliance on third parties to conduct research, drug development, and other services;</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limited operating history and our ability to obtain additional funding for operations and to complete the licensing or development and commercialization of our drug candidates;</w:t>
            </w:r>
          </w:p>
        </w:tc>
      </w:tr>
    </w:tbl>
    <w:p>
      <w:pPr>
        <w:pStyle w:val="TextBody"/>
        <w:bidi w:val="0"/>
        <w:spacing w:before="0" w:after="0"/>
        <w:ind w:left="0" w:right="0" w:firstLine="42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8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any future epidemics, pandemics or conflicts;</w:t>
            </w:r>
          </w:p>
        </w:tc>
      </w:tr>
    </w:tbl>
    <w:p>
      <w:pPr>
        <w:pStyle w:val="TextBody"/>
        <w:bidi w:val="0"/>
        <w:spacing w:before="0" w:after="0"/>
        <w:ind w:left="0" w:right="0" w:firstLine="42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60"/>
        <w:gridCol w:w="170"/>
        <w:gridCol w:w="3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4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0" w:right="0" w:firstLine="42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60"/>
        <w:gridCol w:w="170"/>
        <w:gridCol w:w="1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inflation;</w:t>
            </w:r>
          </w:p>
        </w:tc>
      </w:tr>
    </w:tbl>
    <w:p>
      <w:pPr>
        <w:pStyle w:val="TextBody"/>
        <w:bidi w:val="0"/>
        <w:spacing w:before="0" w:after="0"/>
        <w:ind w:left="0" w:right="0" w:firstLine="42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effects of staffing and materials shortages;</w:t>
            </w:r>
          </w:p>
        </w:tc>
      </w:tr>
    </w:tbl>
    <w:p>
      <w:pPr>
        <w:pStyle w:val="TextBody"/>
        <w:bidi w:val="0"/>
        <w:spacing w:before="0" w:after="0"/>
        <w:ind w:left="0" w:right="0" w:firstLine="42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risks and uncertainties set forth in “</w:t>
            </w:r>
            <w:r>
              <w:rPr>
                <w:rFonts w:ascii="Times New Roman;Times;serif" w:hAnsi="Times New Roman;Times;serif"/>
                <w:i/>
                <w:sz w:val="20"/>
              </w:rPr>
              <w:t>Risk Factors</w:t>
            </w:r>
            <w:r>
              <w:rPr>
                <w:rFonts w:ascii="Times New Roman;Times;serif" w:hAnsi="Times New Roman;Times;serif"/>
                <w:sz w:val="20"/>
              </w:rPr>
              <w:t>” in our most recent Annual Report on Form 10-K and any subsequent Quarterly Reports on Form 10-Q.</w:t>
            </w:r>
          </w:p>
        </w:tc>
      </w:tr>
    </w:tbl>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5" w:name="MARKET_DATA"/>
      <w:bookmarkEnd w:id="85"/>
      <w:r>
        <w:rPr>
          <w:rFonts w:ascii="Times New Roman;Times;serif" w:hAnsi="Times New Roman;Times;serif"/>
          <w:b/>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w:t>
      </w:r>
      <w:r>
        <w:rPr>
          <w:rFonts w:ascii="Times New Roman" w:hAnsi="Times New Roman"/>
          <w:i/>
          <w:caps w:val="false"/>
          <w:smallCaps w:val="false"/>
          <w:sz w:val="20"/>
        </w:rPr>
        <w:t>Risk Factors</w:t>
      </w:r>
      <w:r>
        <w:rPr>
          <w:rFonts w:ascii="Times New Roman" w:hAnsi="Times New Roman"/>
          <w:caps w:val="false"/>
          <w:smallCaps w:val="false"/>
          <w:sz w:val="20"/>
        </w:rPr>
        <w:t>.” These and other factors could cause results to differ materially from those expressed in the estimates made by the independent parties or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6" w:name="SUMMARY"/>
      <w:bookmarkEnd w:id="86"/>
      <w:r>
        <w:rPr>
          <w:rFonts w:ascii="Times New Roman;Times;serif" w:hAnsi="Times New Roman;Times;serif"/>
          <w:b/>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and the information incorporated herein by reference. Unless the context otherwise requires, references to “we,” “us,” “our,” “the Company,” “Clene” and similar designations are intended to mean the business and operations of Clene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clinical-stage pharmaceutical company pioneering the discovery, development, and commercialization of novel clean-surfaced nanotechnology (“CSN®”) therapeutics. CSN® therapeutics are comprised of atoms of transition elements that, when assembled in nanocrystal form, possess unusually high, unique catalytic activities not present in those same elements in bulk form. These catalytic activities drive, support, and maintain beneficial metabolic and energetic cellular reactions within diseased, stressed, and damaged cells.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patent-protected, proprietary position affords us the potential to develop a broad and deep pipeline of novel CSN therapeutics to address a range of diseases with high impact on human health. We innovated an electro-crystal-chemistry drug development platform that draws from advances in nanotechnology, plasma and quantum physics, material science, and biochemistry. Our platform process results in nanocrystals with faceted structures and surfaces that are free of the chemical surface modifications that accompany other production methods. Many traditional methods of nanoparticle synthesis involve the unavoidable deposition of potentially toxic organic residues and stabilizing surfactants on the particle surfaces. Synthesizing stable nanocrystals that are both nontoxic and highly catalytic has overcome this significant hurdle in harnessing transition metal catalytic activity for therapeutic use. Our clean-surfaced nanocrystals exhibit catalytic activities many-fold higher than other commercially available nanoparticles, produced using various techniques, that we have comparatively evaluated.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development and clinical efforts are dedicated to revolutionizing the treatment of neurodegenerative diseases to restore and protect neuronal health and function. Our nanotherapeutics target cellular energy impairments that are common to many diseases and we are currently focused on addressing the high unmet medical needs in central nervous system disorders including amyotrophic lateral sclerosis (“ALS”), multiple sclerosis (“MS”), and Parkinson’s disease (“PD”). We currently have no drugs approved for commercial sale and have not generated any revenue from drug sales. We have never been profitable and have incurred operating losses in each year since inception. We generate revenue from sales of dietary supplements through our wholly owned subsidiary, dOrbital, Inc., or through an exclusive license with 4Life Research LLC (“4Life”), an international supplier of health supplements, stockholder, and related party. We anticipate these revenues to be small compared to our operating expenses and to the revenue we expect to generate from potential future sales of our drug candidates, for which we are currently conducting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Developments of Our 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Amyotrophic Lateral Sclerosis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December 2024, we announced that we recently received written guidance from the Division of Neurology 1 (“DN1”) of the U.S. Food and Drug Administration (“FDA”) regarding a potential accelerated approval pathway for CNM-Au8® in ALS. As announced previously in September 2024, we were initially advised that the data presented in our briefing package for CNM-Au8 was not adequate to support an NDA submission under the accelerated approval pathway. However, following our November 2024 meeting with DN1 and presentation of additional data and analyses, the FDA provided guidance on a potential path to meet the regulatory standard for substantial evidence of effectiveness supporting accelerated approval. The FDA recommended that we investigate whether additional data from our ongoing compassionate use Expanded Access Programs (“EAPs”) could be leveraged to substantiate the effect of CNM-Au8 on neurofilament light (“NfL”) decline. We intend to follow the FDA’s recommendation to provide data from the ongoing EAPs and believe we can address the FDA’s requests. The additional NfL biomarker collection and analyses to support NDA submission is planned to be completed during the third quarter of 2025, as summarized below:</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NfL biomarker analyses</w:t>
            </w:r>
            <w:r>
              <w:rPr>
                <w:rFonts w:ascii="Times New Roman;Times;serif" w:hAnsi="Times New Roman;Times;serif"/>
                <w:sz w:val="20"/>
              </w:rPr>
              <w:t>—Provide supportive evidence of NfL declines in participants from our ongoing FDA-authorized compassionate-use EAPs. We will meet with the FDA in the second quarter of 2025 to review and finalize our statistical analysis plan for the EAP NfL biomarker analyses.</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Survival pharmacometric modeling</w:t>
            </w:r>
            <w:r>
              <w:rPr>
                <w:rFonts w:ascii="Times New Roman;Times;serif" w:hAnsi="Times New Roman;Times;serif"/>
                <w:sz w:val="20"/>
              </w:rPr>
              <w:t>—Provide analyses of NfL and related disease-specific biomarkers linked to clinical survival benefit and clinical changes from the Phase 2 trial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Additional ALS-specific biomarkers</w:t>
            </w:r>
            <w:r>
              <w:rPr>
                <w:rFonts w:ascii="Times New Roman;Times;serif" w:hAnsi="Times New Roman;Times;serif"/>
                <w:sz w:val="20"/>
              </w:rPr>
              <w:t>—Provide analyses of additional ALS-disease specific biomarkers to support the pharmacodynamic activity of CNM-Au8 for treatment of ALS.</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FDA noted that whether NfL can serve as a reasonably likely surrogate endpoint for the effects of CNM-Au8 in ALS and whether the magnitude of change observed on NfL in patients treated with CNM-Au8 is reasonably likely to predict clinical benefit for ALS would be a matter of review. In preparation for a potential NDA submission in the fourth quarter of 2025 with the accelerated approval request, we plan to commence a confirmatory Phase 3 trial, RESTORE-ALS, in the second half of 2025. The trial is designed to investigate the effects of CNM-Au8 on improved survival (primary endpoint) and delayed time to ALS clinical worsening events (secondary efficacy endpoint). We have submitted the RESTORE-ALS trial protocol to the FDA and the FDA review process is ongoing.</w:t>
      </w:r>
    </w:p>
    <w:p>
      <w:pPr>
        <w:pStyle w:val="TextBody"/>
        <w:bidi w:val="0"/>
        <w:spacing w:before="0" w:after="0"/>
        <w:ind w:left="0" w:right="0" w:firstLine="40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Multiple Sclerosis</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We have initiated a second dosing cohort of REPAIR-MS, an open-label, investigator blinded Phase 2 clinical trial in non-active progressive MS patients. Enrollment concluded in January 2025 with topline results expected in mid-2025. We plan to work closely with regulatory health authorities from the FDA, European Medicines Agency and other international regulatory bodies, MS experts, and patient representatives to determine the proper path to advance CNM-Au8 into Phase 3 and potential future approval. We expect to meet with the FDA in an end of Phase 2 meeting in the third quarter of 2025.</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In April 2025, we announced new evidence of remyelination and neuronal repair in MS participants following treatment with CNM-Au8 30 mg from analyses of the long-term open-label extension of the VISIONARY-MS clinical trial. The post hoc analyses identify consistent anatomical and physiologic effects within the same trial participants resulting in cognition and vision improvement for people living with MS. The analyses highlight significant and clinically meaningful improvements in cognition and visual function, supported by corresponding objective biomarkers, including advanced magnetic resonance imaging (“MRI”) diffusion tensor imaging (“DTI”) and multi-focal visual evoked potential (“mf-VEP”) assessments. Key findings from the analyses included:</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MRI DTI metrics (axial diffusivity (“AD”) and magnetization transfer ratio (“MTR”)—structural markers associated with neuronal repair and remyelination) confirmed improvements in the brain’s neuronal structure consistent with remyelination and repair among MS participants receiving CNM-Au8; and</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mf-VEP metrics (VEP latency and amplitude—functional markers associated with remyelination and neuronal repair) confirmed improvements in the visual system and related to cognitive function among MS participants receiving CNM-Au8.</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Both the low contrast letter acuity (“LCLA”) vision—a visual measure associated with vision-specific quality of life and overall MS disability—and symbol digit modality test (“SDMT”)—a benchmark for working memory and cognitive processing speed in MS—improved in CNM-Au8 participants, results that have not been previously documented in MS clinical trials of other repair candidate drugs. Importantly, these clinical improvements correlated with objective biomarker measurements including:</w:t>
      </w:r>
    </w:p>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96% of participants who were LCLA responders, showing visual improvement, also demonstrated improvement in MRI DTI metrics (AD and/or MTR), evidencing repair and remyelination;</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91% of LCLA visual responders exhibited mf-VEP improvements in latency (conduction velocity) and/or amplitude (signal strength);</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VEP provides an objective measure of visual circuit pathway, further supporting functional recovery linked to repair and remyelination; and</w:t>
            </w:r>
          </w:p>
        </w:tc>
      </w:tr>
    </w:tbl>
    <w:p>
      <w:pPr>
        <w:pStyle w:val="TextBody"/>
        <w:bidi w:val="0"/>
        <w:spacing w:before="0" w:after="0"/>
        <w:ind w:left="0" w:right="0" w:firstLine="40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98% of SDMT responders with improved cognition had corresponding improvements in MRI DTI metrics AD and/or MTR, substantiating that the cognitive enhancement was associated with repair and remyelination.</w:t>
            </w:r>
          </w:p>
        </w:tc>
      </w:tr>
    </w:tbl>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These results are also consistent with previous neuronal and clinical improvement observed in the double-blind period of VISIONARY-MS, while also reinforcing the long-term benefits of the novel therapeutic mechanism of CNM-Au8. CNM-Au8 supports critical repair processes within neurons and oligodendrocytes, leading to improved neurological function and remyelination, as previously documented.</w:t>
      </w:r>
    </w:p>
    <w:p>
      <w:pPr>
        <w:pStyle w:val="TextBody"/>
        <w:bidi w:val="0"/>
        <w:spacing w:before="0" w:after="0"/>
        <w:ind w:left="0" w:right="0" w:firstLine="400"/>
        <w:jc w:val="both"/>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The chart below reflects the growing body of evidence for CSN therapeutics from our completed and ongoing clinical programs.</w:t>
      </w:r>
    </w:p>
    <w:p>
      <w:pPr>
        <w:pStyle w:val="TextBody"/>
        <w:bidi w:val="0"/>
        <w:spacing w:before="0" w:after="0"/>
        <w:ind w:left="0" w:right="0" w:firstLine="400"/>
        <w:jc w:val="both"/>
        <w:rPr/>
      </w:pPr>
      <w:r>
        <w:rPr/>
        <w:t> </w:t>
      </w:r>
    </w:p>
    <w:p>
      <w:pPr>
        <w:pStyle w:val="TextBody"/>
        <w:bidi w:val="0"/>
        <w:jc w:val="center"/>
        <w:rPr/>
      </w:pPr>
      <w:r>
        <w:rPr/>
        <w:drawing>
          <wp:inline distT="0" distB="0" distL="0" distR="0">
            <wp:extent cx="2468880" cy="12579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2468880" cy="125793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incurred a loss from operations $33.1 million and $40.5 million for the years ended December 31, 2024 and 2023, respectively. Our accumulated deficit was $282.1 million and $242.7 million as of December 31, 2024 and December 31, 2023, respectively. Our cash, cash equivalents, and marketable securities totaled $12.2 million and $35.0 million as of December 31, 2024 and December 31, 2023, respectively, and net cash used in operating activities was $21.3 million and $30.2 million for the years ended December 31, 2024 and 2023,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incurred significant losses and negative cash flows from operations since our inception. We have not generated significant revenues since our inception, and we do not anticipate generating significant revenues unless we successfully complete development and obtain regulatory approval for commercialization of a drug candidate. We expect to incur additional losses in the future, particularly as we advance the development of our clinical-stage drug candidates, continue research and development of our preclinical drug candidates, and initiate additional clinical trials of, and seek regulatory approval for, these and other future drug candidates. We expect that within the next twelve months, we will not have sufficient cash and other resources on hand to sustain our current operations or meet our obligations as they become due unless we obtain additional financing. Additionally, pursuant to our senior secured convertible promissory notes (the “2024 SSCP Notes”), we are required to maintain unrestricted cash and cash equivalents of at least $2.0 million to avoid acceleration of the full balance of the 2024 SSCP Notes. These conditions raise substantial doubt about the Company’s ability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To mitigate our funding needs, we plan to raise additional funding, including exploring equity financing and offerings, debt financing, licensing or collaboration arrangements with third parties, as well as utilizing our existing at-the-market facility and equity purchase agreement and potential proceeds from the exercise of outstanding warrants and stock options. These plans are subject to market conditions and reliance on third parties, and there is no assurance that effective implementation of our plans will result in the necessary funding to continue current operations. During the year ended December 31, 2024, we generated $2.7 million of gross proceeds from our equity distribution agreement (the “ATM Agreement”), raised $3.5 million from a registered direct offering of equity securities and an additional $3.8 million from separate, concurrent private placements of equity securities, and raised $10.0 million from the issuance of the 2024 SSCP Notes of which $7.9 million was used to repay the remaining balance of our obligations under a term loan with Avenue Venture Opportunities Fund, L.P. (“Avenue”). Additionally, subsequent to December 31, 2024, we generated $3.3 million of gross proceeds from our ATM Agreement. We have implemented cost-saving initiatives, including delaying and reducing certain research and development programs and commercialization efforts and elimination of certain staff positions. We have concluded that our plans do not alleviate the substantial doubt about our ability to continue as a going concern beyond one year from the date our consolidated financial statements for the year ended December 31, 2025, were issued.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financial statements incorporated herein by reference have been prepared assuming we will continue as a going concern, which contemplates the realization of assets and satisfaction of liabilities in the normal course of business. As a result, our financial statements incorporated herein by reference do not include any adjustments relating to the recoverability and classification of assets and their carrying amounts, or the amounts and classification of liabilities that may result should we be unable to continue as a going concern.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Smaller Reporting Company Status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because the market value of our stock held by non-affiliates was less than $250 million as of June 30, 2024.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As a smaller reporting company, we are eligible for and may take advantage of certain exemptions from various reporting requirements applicable to other public companies for as long as we continue to be a smaller reporting company, including (i) the choice of presenting only the two most recent fiscal years of audited financial statements in our Annual Report on Form 10-K, (ii) the exemption from the auditor attestation requirements with respect to internal control over financial reporting under Section 404(b) of the Sarbanes-Oxley Act, and (iii) reduced disclosure obligations regarding executive compensation in our periodic reports and proxy statements.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History and Information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Clene Nanomedicine, Inc. (“Clene Nanomedicine”) became a public company on December 30, 2020 (the “Closing Date”) when it completed a reverse recapitalization (the “Reverse Recapitalization”) with Tottenham Acquisition I Limited (“Tottenham”), and with Tottenham’s wholly-owned subsidiary and our predecessor, Chelsea Worldwide Inc., and Creative Worldwide Inc., a wholly-owned subsidiary of Chelsea Worldwide Inc. On the Closing Date, Chelsea Worldwide Inc. changed its name to Clene Inc. and listed its shares of common stock, par value $0.0001 per share (“common stock”), on Nasdaq under the symbol “CLNN.”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effected a 1-for-20 reverse stock split of our common stock beginning with the opening of trading on July 11, 2024 (the “Reverse Stock Split”). As a result, every 20 shares of common stock issued and outstanding were automatically combined and converted into 1 validly issued, fully paid and non-assessable share. All outstanding stock options, warrants, rights to restricted stock awards, convertible debt, and contingent earn-out shares entitling their holders to purchase or receive shares of common stock were adjusted as a result of the Reverse Stock Split, in accordance with the terms of each such security. In addition, the number of shares reserved for issuance pursuant to our Amended 2020 Stock Plan was also appropriately adjusted. All historical share and per share data for the periods presented in this prospectus, including for periods ending prior to July 11, 2024, has been adjusted to reflect the 1-for-20 Reverse Stock Split.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The mailing address for our principal executive office is 6550 South Millrock Drive, Suite G50, Salt Lake City, Utah 84121, and our telephone number is (801) 676-9695. Our website address is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and you should not consider it part of this prospectus. We have included our website address in this prospectus solely as an inactive textual reference.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Offering</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Under this prospectus, we may offer and sell to the public in one or more series or issuances of common stock, preferred stock, debt securities, warrants to purchase our common stock, preferred stock or debt securities, and/or units consisting of some or all of these securities with an aggregate offering price not to exceed $160,000,000.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7" w:name="RISK_FACTORS"/>
      <w:bookmarkEnd w:id="87"/>
      <w:r>
        <w:rPr>
          <w:rFonts w:ascii="Times New Roman;Times;serif" w:hAnsi="Times New Roman;Times;serif"/>
          <w:b/>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Investing in our securities involves a high degree of risk. Before deciding whether to invest in our securities, you should carefully consider the risks and uncertainties described under “</w:t>
      </w:r>
      <w:r>
        <w:rPr>
          <w:rFonts w:ascii="Times New Roman" w:hAnsi="Times New Roman"/>
          <w:caps w:val="false"/>
          <w:smallCaps w:val="false"/>
          <w:sz w:val="20"/>
        </w:rPr>
        <w:t xml:space="preserve">Risk Factors” </w:t>
      </w:r>
      <w:r>
        <w:rPr>
          <w:rFonts w:ascii="Times New Roman" w:hAnsi="Times New Roman"/>
          <w:i/>
          <w:caps w:val="false"/>
          <w:smallCaps w:val="false"/>
          <w:sz w:val="20"/>
        </w:rPr>
        <w:t>in our most recent Annual Report on Form 10-K and any subsequent Quarterly Reports on Form 10-Q, which are incorporated herein by reference, together with the information contained in this prospectus and any other information that has been or will be incorporated herein by reference.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risk factors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and adversely from those anticipated in the forward-looking statements as a result of a number of factors. See “</w:t>
      </w:r>
      <w:r>
        <w:rPr>
          <w:rFonts w:ascii="Times New Roman" w:hAnsi="Times New Roman"/>
          <w:caps w:val="false"/>
          <w:smallCaps w:val="false"/>
          <w:sz w:val="20"/>
        </w:rPr>
        <w:t>Cautionary Note Regarding Forward-Looking Statements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8" w:name="PROCEEDS"/>
      <w:bookmarkEnd w:id="88"/>
      <w:r>
        <w:rPr>
          <w:rFonts w:ascii="Times New Roman;Times;serif" w:hAnsi="Times New Roman;Times;serif"/>
          <w:b/>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we will use the net proceeds from the sale of securities offered by this prospectus for expenses primarily related to general corporate purposes, including to fund the clinical development of our lead drug candidate, CNM-Au8, including for conducting our on-going and planned clinical trials and expanded access protocols; potential future commercialization efforts and future regulatory activities including preparation of regulatory filings; additional early-stage research and development activities; and for business development activities, working capital and other general corporate purposes. Any specific allocation of the net proceeds of an offering of securities to a specific purpose will be determined at the time of such offering and will be described in the related supplement to this prospectus.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expected use of net proceeds represents our intentions based upon our present plans and business conditions. We cannot specify with certainty all of the particular uses for the net proceeds. Due to uncertainties inherent in the drug development process, it is difficult to estimate the exact amounts of the net proceeds that will be used for any particular purpose. We may use our existing cash and the future payments, if any, generated from any future collaboration agreements to fund our operations, either of which may alter the amount of net proceeds used for a particular purpose. In addition, the amount, allocation and timing of our actual expenditures will depend upon numerous factors, including the results of our research and development efforts, the timing and success of clinical trials, and the timing of regulatory submissions. Accordingly, we will have broad discretion in using these net proceeds.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We intend to invest the net proceeds we receive that are not used as described above in a variety of capital preservation investments, including investment-grade, interest-bearing instruments and certificates of deposit or direct or guaranteed obligations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89" w:name="CAPITAL_STOCK"/>
      <w:bookmarkEnd w:id="89"/>
      <w:r>
        <w:rPr>
          <w:rFonts w:ascii="Times New Roman;Times;serif" w:hAnsi="Times New Roman;Times;serif"/>
          <w:b/>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The following is a summary of the rights and preferences of our capital stock. While we believe that the following description covers the material terms of our capital stock, the description may not contain all of the information that is important to you. We encourage you to read carefully this entire prospectus, any future related prospectus supplement and certificates of designation relating to the securities, as applicable, our amended and restated certificate of incorporation (the “certificate of incorporation”) and amended and restated bylaws (the “bylaws”) and the other documents we refer to for a more complete understanding of our capital stock. Copies of our certificate of incorporation and bylaws are incorporated by reference as exhibits to the registration statement of which this prospectus is a part. See “</w:t>
      </w:r>
      <w:r>
        <w:rPr>
          <w:rFonts w:ascii="Times New Roman" w:hAnsi="Times New Roman"/>
          <w:caps w:val="false"/>
          <w:smallCaps w:val="false"/>
          <w:sz w:val="20"/>
        </w:rPr>
        <w:t xml:space="preserve">Where You Can Find More Information” </w:t>
      </w:r>
      <w:r>
        <w:rPr>
          <w:rFonts w:ascii="Times New Roman" w:hAnsi="Times New Roman"/>
          <w:i/>
          <w:caps w:val="false"/>
          <w:smallCaps w:val="false"/>
          <w:sz w:val="20"/>
        </w:rPr>
        <w:t>and “</w:t>
      </w:r>
      <w:r>
        <w:rPr>
          <w:rFonts w:ascii="Times New Roman" w:hAnsi="Times New Roman"/>
          <w:caps w:val="false"/>
          <w:smallCaps w:val="false"/>
          <w:sz w:val="20"/>
        </w:rPr>
        <w:t>Information Incorporated by Reference</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are governed by the certificate of incorporation, as amended and restated from time to time, and the Delaware General Corporation Law (“DGCL”), and the common law of the state of Delaware. The following summary of certain provisions of our securities does not purport to be complete and is subject to our amended and restated certificate of incorporation, as amended, our amended and restated bylaws and the provisions of the DGCL. Copies of our amended and restated certificate of incorporation, as amended, and our amended and restated bylaws are incorporated by reference as Exhibits 3.1, 3.2, 3.3 and 3.4, respectively, to this prospectus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authorizes a total number of shares of all classes of stock of 601,000,000 shares, consisting of (i) 600,000,000 shares of common stock, par value $0.0001 per share, and (ii) 1,000,000 shares of preferred stock,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under the symbol “CLNN.” The holders of our common stock are entitled to one vote for each share held on all matters to be voted on by stockholders and do not have cumulative voting rights. The holders of our common stock are entitled to receive dividends, if and when declared by our Board of Directors (the “Board”) out of funds legally available therefor. In the event of a liquidation, dissolution, or winding up of the Company, our stockholders are entitled to share ratably in all assets remaining available for distribution to them after payment of liabilities and after provision is made for each class of stock, if any, having preference over our common stock. Holders of our common stock have no preemptive or other subscription rights. Our Board is classified.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Our preferred stock is currently undesignated and no shares of preferred stock are outstanding. 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common stock, restricting dividends on our capital stock, diluting the voting power of the common stock, impairing the liquidation rights of our capital stock or delaying or preventing a change in control of the Company. There is no restriction on the repurchase or redemption of shares by us while there is any arrearage in the payment of dividends or sinking fund installments.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warrants outstanding that were exercisable into a total of 7,242,876 shares of common stock, as outlined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warrants originally issued by Tottenham are listed on Nasdaq under the symbol “CLNNW” (the “Public Warrants”). Each Public Warrant entitles the holder thereof to purchase one-fortieth (1/40) of one share of common stock at a price of $230.00 per full share. We will not issue fractional shares. As a result, a Public Warrant holder must exercise warrants in multiples of forty, at a price of $230.00 per full share, subject to adjustment, to validly exercise the warrants. The Public Warrants became exercisable upon the completion of the Reverse Recapitalization and will expire on December 30, 2025. As of the date of this prospectus, we had 4,815,000 Public Warrants outstanding exercisable into 120,375 shares of common stock. The Public Warrants are currently exercisable.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redeem the outstanding Public Warrants (excluding the private warrants that are part of the private units), in whole and not in part, at a price of $0.01 per warrant:</w:t>
      </w:r>
    </w:p>
    <w:p>
      <w:pPr>
        <w:pStyle w:val="TextBody"/>
        <w:bidi w:val="0"/>
        <w:spacing w:before="0" w:after="0"/>
        <w:ind w:left="0" w:right="0" w:firstLine="40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any time while the warrants are exercisable;</w:t>
            </w:r>
          </w:p>
        </w:tc>
      </w:tr>
    </w:tbl>
    <w:p>
      <w:pPr>
        <w:pStyle w:val="TextBody"/>
        <w:bidi w:val="0"/>
        <w:spacing w:before="0" w:after="0"/>
        <w:ind w:left="0" w:right="0" w:firstLine="40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a minimum of 30 days’ prior written notice of redemption;</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and only if, the last sales price of our common stock equals or exceeds $330.00 per share for any 20 trading days within a 30-trading day period ending three business days before we send the notice of redemption; and</w:t>
            </w:r>
          </w:p>
        </w:tc>
      </w:tr>
    </w:tbl>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and only if, (i) there is a current registration statement in effect with respect to our common stock underlying the warrants at the time of redemption and for the entire 30-day trading period referred to above and continuing each day thereafter until the date of redemption or (ii) the warrants may be exercised on a cashless basis as set forth in the warrant agreement and such cashless exercise is exempt from registration under the Securities Act.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the foregoing conditions are satisfied and we issue a notice of redemption, each warrant holder can exercise his, her or its warrant prior to the scheduled redemption date. However, the price of our common stock may fall below the $330.00 trigger price as well as the $230.00 exercise price per full share after the redemption notice is issued and not limit our ability to complete the redemption.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we call the Public Warrants for redemption as described above, our management will have the option to require all warrant holders that wish to exercise the warrants to do so on a “cashless” basis. In such event, each warrant holder would pay the exercise price by surrendering the whole warrant for that number of shares of common stock equal to the quotient obtained by dividing (x) the product of the number of shares of common stock underlying the warrants, multiplied by the difference between the exercise price of our warrants and the “fair market value” (as defined below) by (y) the fair market value. The “fair market value” means the average reported last sale price of our common stock for the ten trading days ending on the third trading day prior to the date on which the notice of redemption is sent to the warrant holders. Whether we will exercise the option to require all warrant holders to exercise their warrants on a “cashless basis” will depend on a variety of factors, including the price of our common stock at the time the warrants are called for redemption, our cash needs at such time and concerns regarding dilutive share issuances.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Option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July 2021, Chardan Capital Markets, LLC (“Chardan”) exercised a unit purchase option originally issued in connection with Tottenham’s initial public offering in August 2018 for 11,000 units, each unit consisting of one and one-tenth (1/10) shares of common stock and twenty warrants to purchase one-fortieth (1/40) of one share of common stock at an exercise price of $230.00 per share. Chardan elected to perform a cashless or net exercise, which resulted in a net issuance of 49,166 warrants to purchase one-fortieth (1/40) of one share of common stock (the “Option Warrants”). The Option Warrants became exercisable upon issuance and are subject to the same expiration and redemption terms as the Public Warrants. As of the date of this prospectus, the Option Warrants are exercisable into 1,229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2023 Avenue Warrant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June 2023, we issued a warrant (the “2023 Avenue Warrant”) in connection with an amendment to a loan agreement by and among the Company and our wholly owned subsidiary, Clene Nanomedicine, Inc., and Avenue and its affiliates. The 2023 Avenue Warrant became exercisable upon issuance and expires on June 30, 2028. Avenue may exercise the 2023 Avenue Warrant for cash or on a net or “cashless” basis. In the event of a change of control of the Company, the 2023 Avenue Warrant shall be automatically exchanged for the number of shares of common stock which remain exercisable thereunder immediately prior to the change of control transaction, for no payment or consideration from Avenue for such shares, and the 2023 Avenue Warrant shall be terminated. As of the date of this prospectus, the 2023 Avenue Warrant is exercisable into 150,000 shares of common stock. Upon effectiveness of an amendment to the loan agreement, dated September 30, 2024, the 2023 Avenue Warrant was amended and restated to reflect an exercise price of $4.6014 per share. The other material terms of the 2023 Avenue Warrant remained effective as summarized herein.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Tranche A Warrants &amp; Tranche B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June 2023, pursuant to an underwritten public equity offering, we sold units each consisting of (i) one share of common stock, (ii) one warrant to purchase one share of common stock at an exercise price of $22.00 per share (the “Tranche A Warrants”), and (iii) one warrant to purchase one share of common stock at an exercise price of $30.00 per share (the “Tranche B Warrants”). The Tranche A Warrants were exercisable immediately and will expire on the earlier of (i) sixty (60) days following the date of our public announcement that the filing of a New Drug Application (“NDA”) for CNM-Au8 has been accepted by the U.S. Food and Drug Administration (“FDA”), or (ii) June 16, 2026. The Tranche B Warrants were exercisable immediately and will expire on the earlier of (i) sixty (60) days following the date of our public announcement that an NDA for CNM-Au8 has been approved by the FDA, or (ii) June 16, 2030. If we enter into or become party to a fundamental transaction (which generally includes a merger of the Company with or into another entity; the sale, lease, license, or transfer of all or substantially all of our assets; tender or exchange offers; or reclassification, reorganization, or recapitalization of our common stock), then (i) we or our successor entity shall purchase all outstanding Tranche A Warrants by paying the holders cash in an amount equal to the Black-Scholes value of the remaining unexercised portion of each Tranche A Warrant, and (ii) upon any subsequent exercise of a Tranche B Warrant, the holder shall be entitled to receive, at the option of the holder, the number of shares of common stock of the successor or acquiring corporation or of the Company, if it is the surviving corporation, and any additional consideration receivable upon or as a result of such fundamental transaction by a holder of the number of shares of our common stock for which the warrant is exercisable immediately prior to such fundamental transaction. As of the date of this prospectus, the Tranche A Warrants and Tranche B Warrants are exercisable into 2,500,000 and 2,500,000 shares of common stock, respectively.</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2024 Pre-Funded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October 2024, pursuant to a registered direct offering and a separate, concurrent private placement, we sold pre-funded warrants (the “2024 Pre-Funded Warrants”) with an exercise price of $0.001 per share of common stock. The 2024 Pre-Funded Warrants are currently exercisable and will expire when exercised in full. Additionally, the 2024 Pre-Funded Warrants may be exercised on a net or “cashless” basis. In the event of a fundamental transaction, as described in the 2024 Pre-Funded Warrants and generally including any merger or consolidation, or the sale, lease, license, assignment, transfer, or other conveyance or disposition of all or substantially all of our assets, or any purchase offer, tender offer or exchange offer is completed whereby holders of our common stock are permitted to sell, tender or exchange their shares for other securities, cash or property and has been accepted by holders of 50% or more of our outstanding common stock or voting power, any reclassification, reorganization or recapitalization of the common stock or any compulsory share exchange pursuant to which the common stock is effectively converted into or exchanged for other securities, cash or property, or consummates a stock or share purchase agreement or other business combination (including, without limitation, a reorganization, recapitalization, spin-off, merger or scheme of arrangement) whereby any person or group acquires 50% or more of our outstanding common stock or voting power, then the holders of the 2024 Pre-Funded Warrants will be entitled to receive upon any subsequent exercise of the 2024 Pre-Funded Warrants, at the option of the holders, the number of shares of common stock of the successor or acquiring corporation or of the Company, if it is the surviving corporation, and any additional consideration receivable as a result of such fundamental transaction. As of the date of this prospectus, the 2024 Pre-Funded Warrants are exercisable into 424,358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2024 Common Warrants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October 2024, pursuant to a registered direct offering and separate, concurrent private placements, we sold warrants (the “2024 Common Warrants”) with an exercise price of $4.82 per share of common stock. The 2024 Common Warrants are currently exercisable and expire five (5) years from the issuance date of October 1, 2024. In the event of a fundamental transaction, as described in the 2024 Common Warrants and generally including any merger or consolidation, or the sale, lease, license, assignment, transfer, or other conveyance or disposition of all or substantially all of our assets, or any purchase offer, tender offer or exchange offer is completed whereby holders of our common stock are permitted to sell, tender or exchange their shares for other securities, cash or property and has been accepted by holders of 50% or more of our outstanding common stock or voting power, any reclassification, reorganization or recapitalization of the common stock or any compulsory share exchange pursuant to which the common stock is effectively converted into or exchanged for other securities, cash or property, or consummates a stock or share purchase agreement or other business combination (including, without limitation, a reorganization, recapitalization, spin-off, merger or scheme of arrangement) whereby any person or group acquires 50% or more of our outstanding common stock or voting power, then holders of the 2024 Common Warrants will be entitled to receive upon any subsequent exercise of the 2024 Common Warrants, at the option of the holders, the number of shares of common stock of the successor or acquiring corporation or of the Company, if it is the surviving corporation, and any additional consideration receivable as a result of such fundamental transaction. Notwithstanding anything to the contrary, in the event of a fundamental transaction, the Company or any successor entity shall, at the holder’s option, purchase the 2024 Common Warrants by paying to the holders the amount of cash equal to the Black Scholes Value (as defined in the 2024 Common Warrants) of the remaining unexercised portion of the 2024 Common Warrants on the date of the consummation of such fundamental transaction; provided, however, that, if the fundamental transaction is not within our control, including not approved by our Board of Directors, the holders shall only be entitled to receive from the Company or any successor the same type or form of consideration (and in the same proportion), at the Black Scholes Value of the unexercised portion of the 2024 Common Warrants, that is being offered and paid to the holders of our common stock in connection with the fundamental transaction, whether that consideration be in the form of cash, stock or any combination thereof, or whether the holders of our common stock are given the choice to receive from among alternative forms of consideration in connection with the fundamental transaction; provided, further, that if holders of our common stock are not offered or paid any consideration in such fundamental transaction, such holders of our common stock will be deemed to have received common stock of the successor in such fundamental transaction. As of the date of this prospectus, the 2024 Common Warrants are exercisable into 1,546,914 shares of common stock.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stock options to purchase 2,257,140 shares, with a weighted average exercise price of $24.61 per share.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Awards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37,441 outstanding and unvested rights to restricted stock awards, which were subject to time-based and market-based vesting conditions.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Contingent Earn-Outs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and unvested earn-outs to issue 329,628 shares, which were subject to market-based and performance-based vesting conditions.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Senior Secured Convertible Promissory Notes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senior secured convertible promissory notes (the “Notes”) in a principal amount totaling $10.0 million which we issued to Kensington Clene 2024 LLC, 4Life Research, LLC and La Scala Investments, LLC pursuant to a note purchase agreement. At the sole election of the holder of a Note, up to 65% of the outstanding principal balance of a Note may be converted into the number of shares of our common stock, equal to the outstanding principal balance elected by the holder to be converted divided by $5.668. Notwithstanding the foregoing, in the event that the holder of a Note declines to convert its pro rata share of outstanding principal balance, the remaining holders of the Notes may convert additional amounts, provided that no outstanding principal balance converted among all Notes exceeds $6.5 million. The Notes expire on the earlier of: (i) the date that is 18 months following the closing date of December 20, 2024, or (ii) a “Change in Control” as described below (the “Maturity Date”). Monthly principal repayments of $1,000,000 per month, made pro rata to the holders of the Notes, will commence on the 13-month anniversary of issuance and will continue until the Maturity Date, upon which date the remaining unpaid balance of principal together with any accrued and unpaid interest shall be due.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 Change in Control means a merger or consolidation of us with or into any other entity in which our stockholders immediately prior to the merger or consolidation do not own more than 50% of the outstanding voting power (assuming conversion of all convertible securities and the exercise of all outstanding options and warrants) of the surviving entity or the sale, lease, licensing, transfer or other disposition of all or substantially all of our the assets; provided, however, that any new issuance of capital stock to one or more third parties for the sole purpose of providing new funding or solely in connection with a public offering of stock shall not constitute a Change in Control. In the event of a Change in Control or any bankruptcy, liquidation, or other restructuring process, the holder of a Note may, at its option, (i) convert up to 65% of the outstanding principal balance of the Note into common stock, (ii) receive a total return, paid in cash, equal to 115% of the outstanding principal balance of the Note, or (iii) any combination thereof, prior to such monetization event, before any security or claim junior to the Note shall receive any proceeds from such monetization event. Events of Default under the Notes include: (i) failure to deliver the conversion shares, (ii) default in the payment of the principal of, or any other amount owing in respect of, the Notes when they become due and payable and the continuance of such default for a period of ten business days after a written notice has been given to the Company; (iii) default in the performance or observance of any covenant or agreement of the Company in the Notes or the note purchase agreement, and the continuance of such default for a period of ten business days after a written notice has been given to the Company; (iv) the failure of the Company to maintain a minimum balance of $2.0 million in unrestricted cash; (v) the entry of a decree or order by a court adjudging the Company as bankrupt or insolvent; or approving as properly filed a petition seeking reorganization, arrangement, adjustment or composition of the Company, or appointing a receiver, liquidator, assignee, trustee or sequestrator of the Company or of any substantial part of its property, or ordering the winding-up or liquidation of its affairs, and the continuance of any such decree or order unstayed and in effect for a period of 60 calendar days; and (vi) the institution by the Company of proceedings to be adjudicated as bankrupt or insolvent, or the consent by it to the institution of bankruptcy or insolvency proceedings against it, or the filing by it of a petition or answer or consent seeking reorganization or relief, or the consent by it to the filing of any such petition or to the appointment of a receiver, liquidator, assignee, trustee or sequestrator of the Company or of any substantial part of its property, or the making by it of an assignment for the benefit of creditors.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Convertible Notes Payable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As of the date of this prospectus, we had outstanding convertible notes payable under a loan agreement with the Maryland Department of Housing and Community Development (“DHCD”) which was convertible into 62,500 shares of common stock at the discretion, but not the obligation, of DHCD at any time from December 8, 2023 through the maturity date of January 1, 2028.</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Indemnification Agreements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entered into indemnification agreements with each of our directors and executive officers. Each indemnification agreement provides for indemnification and advancement by us of certain expenses and costs relating to claims, suits or proceedings arising from service to us or, at our request, service to other entities, as officers or directors to the maximum extent permitted by applicable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Our ability to declare dividends is limited by the terms of financing or other agreements that we have entered into. Future debt or other financing arrangements also may contain terms prohibiting or limiting the amount of dividends that may be declared or paid on our common stock. Investors should not purchase our common stock with the expectation of receiving cash dividends.</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Any future determination to declare dividends will be made at the discretion of our Board and will depend on our financial condition, operating results, capital requirements, general business conditions, and other factors that our Board may deem relevant.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Equiniti Trust Company, LLC. The transfer agent and registrar’s address is 48 Wall Street, Floor 23, New York, NY 10005.</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0" w:name="DEBT_SECURITIES"/>
      <w:bookmarkEnd w:id="90"/>
      <w:r>
        <w:rPr>
          <w:rFonts w:ascii="Times New Roman;Times;serif" w:hAnsi="Times New Roman;Times;serif"/>
          <w:b/>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 and to the extent the terms set forth in a prospectus supplement differ from the terms described below, the terms set forth in the prospectus supplement shall control. Unless the context requires otherwise, whenever we refer to the </w:t>
      </w:r>
      <w:r>
        <w:rPr>
          <w:rFonts w:ascii="Times New Roman" w:hAnsi="Times New Roman"/>
          <w:caps w:val="false"/>
          <w:smallCaps w:val="false"/>
          <w:sz w:val="20"/>
        </w:rPr>
        <w:t>“</w:t>
      </w:r>
      <w:r>
        <w:rPr>
          <w:rFonts w:ascii="Times New Roman" w:hAnsi="Times New Roman"/>
          <w:i/>
          <w:caps w:val="false"/>
          <w:smallCaps w:val="false"/>
          <w:sz w:val="20"/>
        </w:rPr>
        <w:t>indentures,</w:t>
      </w:r>
      <w:r>
        <w:rPr>
          <w:rFonts w:ascii="Times New Roman" w:hAnsi="Times New Roman"/>
          <w:caps w:val="false"/>
          <w:smallCaps w:val="false"/>
          <w:sz w:val="20"/>
        </w:rPr>
        <w:t xml:space="preserve">” </w:t>
      </w:r>
      <w:r>
        <w:rPr>
          <w:rFonts w:ascii="Times New Roman" w:hAnsi="Times New Roman"/>
          <w:i/>
          <w:caps w:val="false"/>
          <w:smallCaps w:val="false"/>
          <w:sz w:val="20"/>
        </w:rPr>
        <w:t>we are also referring to any supplemental indentures that specify the terms of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The indentures will be qualified under the Trust Indenture Act of 1939, as amended (the “Trust Indenture Act”). We use the term </w:t>
      </w:r>
      <w:r>
        <w:rPr>
          <w:rFonts w:ascii="Times New Roman" w:hAnsi="Times New Roman"/>
          <w:caps w:val="false"/>
          <w:smallCaps w:val="false"/>
          <w:sz w:val="20"/>
        </w:rPr>
        <w:t>“</w:t>
      </w:r>
      <w:r>
        <w:rPr>
          <w:rFonts w:ascii="Times New Roman" w:hAnsi="Times New Roman"/>
          <w:i/>
          <w:caps w:val="false"/>
          <w:smallCaps w:val="false"/>
          <w:sz w:val="20"/>
        </w:rPr>
        <w:t>trustee</w:t>
      </w:r>
      <w:r>
        <w:rPr>
          <w:rFonts w:ascii="Times New Roman" w:hAnsi="Times New Roman"/>
          <w:caps w:val="false"/>
          <w:smallCaps w:val="false"/>
          <w:sz w:val="20"/>
        </w:rPr>
        <w:t xml:space="preserve">” </w:t>
      </w:r>
      <w:r>
        <w:rPr>
          <w:rFonts w:ascii="Times New Roman" w:hAnsi="Times New Roman"/>
          <w:i/>
          <w:caps w:val="false"/>
          <w:smallCaps w:val="false"/>
          <w:sz w:val="20"/>
        </w:rPr>
        <w:t>to refer to either the trustee under the senior indenture or the trustee under the subordinated indenture,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i/>
          <w:caps w:val="false"/>
          <w:smallCaps w:val="false"/>
          <w:sz w:val="20"/>
        </w:rPr>
      </w:pPr>
      <w:r>
        <w:rPr>
          <w:rFonts w:ascii="Times New Roman" w:hAnsi="Times New Roman"/>
          <w:i/>
          <w:caps w:val="false"/>
          <w:smallCaps w:val="false"/>
          <w:sz w:val="20"/>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debt securities being offered, including:</w:t>
      </w:r>
    </w:p>
    <w:p>
      <w:pPr>
        <w:pStyle w:val="TextBody"/>
        <w:bidi w:val="0"/>
        <w:spacing w:before="0" w:after="0"/>
        <w:ind w:left="0"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60"/>
        <w:gridCol w:w="170"/>
        <w:gridCol w:w="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title;</w:t>
            </w:r>
          </w:p>
        </w:tc>
      </w:tr>
    </w:tbl>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amount being offered, and if a series, the total amount authorized and the total amount outstanding;</w:t>
            </w:r>
          </w:p>
        </w:tc>
      </w:tr>
    </w:tbl>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or not we will issue the series of debt securities in global form, and, if so, the terms and who the depository will be;</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
        <w:gridCol w:w="170"/>
        <w:gridCol w:w="1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60"/>
        <w:gridCol w:w="170"/>
        <w:gridCol w:w="7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or not the debt securities will be secured or unsecured, and the terms of any secured debt;</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the subordination of any series of subordinated debt;</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place where payments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restrictions on transfer, sale or other assignment, if any;</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right, if any, to defer payment of interest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if any, after which, the conditions upon which, and the price at which, we may, at our option, redeem the series of debt securities pursuant to any optional or provisional redemption provisions and the terms of those redemption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indenture will restrict our ability or the ability of our subsidiaries, if any at such time, to:</w:t>
            </w:r>
          </w:p>
        </w:tc>
      </w:tr>
    </w:tbl>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70"/>
        <w:gridCol w:w="2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additional securities;</w:t>
            </w:r>
          </w:p>
        </w:tc>
      </w:tr>
    </w:tbl>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create liens;</w:t>
            </w:r>
          </w:p>
        </w:tc>
      </w:tr>
    </w:tbl>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pay dividends or make distributions in respect of our capital stock or the capital stock of our subsidiaries;</w:t>
            </w:r>
          </w:p>
        </w:tc>
      </w:tr>
    </w:tbl>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redeem capital stock;</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place restrictions on our subsidiaries’ ability to pay dividends, make distributions or transfer assets;</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investments or other restricted payments;</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 or otherwise dispose of assets;</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170"/>
        <w:gridCol w:w="3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sale-leaseback transactions;</w:t>
            </w:r>
          </w:p>
        </w:tc>
      </w:tr>
    </w:tbl>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engage in transactions with stockholders or affiliates;</w:t>
            </w:r>
          </w:p>
        </w:tc>
      </w:tr>
    </w:tbl>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or sell stock of our subsidiaries; or</w:t>
            </w:r>
          </w:p>
        </w:tc>
      </w:tr>
    </w:tbl>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 a consolidation or merger;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60"/>
        <w:gridCol w:w="170"/>
        <w:gridCol w:w="8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discussion of certain material U.S. federal income tax considerations applicable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describing any book-entry features;</w:t>
            </w:r>
          </w:p>
        </w:tc>
      </w:tr>
    </w:tbl>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provisions for a sinking fund purchase or other analogous fund, if any;</w:t>
            </w:r>
          </w:p>
        </w:tc>
      </w:tr>
    </w:tbl>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60"/>
        <w:gridCol w:w="170"/>
        <w:gridCol w:w="52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applicability of the provisions in the indenture on discharge;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debt securities are to be offered at a price such that they will be deemed to be offered at an “original issue discount” as defined in paragraph (a) of Section 1273 of the Internal Revenue Code, as amended;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of payment of debt securities if other than U.S. dollars and the manner of determining the equivalent amount in U.S. dollars;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set forth in the applicable prospectus supplement the terms on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interest when due and payable and our failure continues for 90 days and the time for payment has not been extended;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the principal, premium or sinking fund payment, if any, when due and payable at maturity, upon redemption or repurchase or otherwise, and the time for payment has not been extended;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specified events of bankruptcy, insolvency or reorganization occur.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describe in each applicable prospectus supplement any additional events of default relating to the relevant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an event of default with respect to debt securities of any series occurs and is continuing, other than an event of default specified in the last bullet point above, the trustee or the holders of not less than a majority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direction so given by the holder is not in conflict with any law or the applicable indenture;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 holder of the debt securities of any series will have the right to institute a proceeding under the indentures or to appoint a receiver or trustee, or to seek other remedies if:</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has given written notice to the trustee of a continuing event of default with respect to that series;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These limitations do not apply to a suit instituted by a holder of debt securities if we default in the payment of the principal, premium, if any, or interest on, the debt securities, or other defaults that may be specified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periodically file statements with the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 for any series of debt securities that we may issue, we and the trustee may change an indenture without the consent of any holders with respect to the following specific matters:</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fix any ambiguity, defect or inconsistency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the provisions described above under “—Consolidation,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any requirements of the SEC in connection with the qualification of any indenture under the Trust Indenture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the issuance of and establish the form and terms and conditions of the debt securities of any series as provided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60"/>
        <w:gridCol w:w="170"/>
        <w:gridCol w:w="7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evidence and provide for the acceptance of appointment hereunder by a successor trustee;</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uncertificated debt securities and to make all appropriate changes for such purpose;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tc>
      </w:tr>
    </w:tbl>
    <w:p>
      <w:pPr>
        <w:pStyle w:val="TextBody"/>
        <w:bidi w:val="0"/>
        <w:spacing w:before="0" w:after="0"/>
        <w:ind w:left="0" w:right="0" w:hanging="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60"/>
        <w:gridCol w:w="170"/>
        <w:gridCol w:w="9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change anything that does not materially adversely affect the interests of any holder of debt securities of any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extending the stated maturity of the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principal amount, reducing the rate of or extending the time of payment of interest, or reducing any premium payable upon the redemption or repurchase of any debt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Each indenture provides that, subject to the terms of the indenture and any limitation otherwise provided in the prospectus supplement applicable to a particular series of debt securities, we can elect to be discharged from our obligations with respect to one or more series of debt securities, except for specified obligations, including obligations to:</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register the transfer or exchange of debt securities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replace stolen, lost or mutilated debt securities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paying agencies;</w:t>
            </w:r>
          </w:p>
        </w:tc>
      </w:tr>
    </w:tbl>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hold monies for payment in trust;</w:t>
            </w:r>
          </w:p>
        </w:tc>
      </w:tr>
    </w:tbl>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 excess money held by the trustee;</w:t>
            </w:r>
          </w:p>
        </w:tc>
      </w:tr>
    </w:tbl>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60"/>
        <w:gridCol w:w="170"/>
        <w:gridCol w:w="3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compensate and indemnify the trustee; and</w:t>
            </w:r>
          </w:p>
        </w:tc>
      </w:tr>
    </w:tbl>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exercise our rights to be discharged, we must deposit with the trustee money or government obligations sufficient to pay all the principal of, any premium,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420"/>
        <w:jc w:val="both"/>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Ranking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subordinated debt securities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1" w:name="WARRANTS"/>
      <w:bookmarkEnd w:id="91"/>
      <w:r>
        <w:rPr>
          <w:rFonts w:ascii="Times New Roman;Times;serif" w:hAnsi="Times New Roman;Times;serif"/>
          <w:b/>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description, together with the additional information we may include in any applicable prospectus supplements, summarizes the material terms and provisions of the warrants that we may offer under this prospectus and </w:t>
      </w:r>
      <w:r>
        <w:rPr>
          <w:rFonts w:ascii="Times New Roman" w:hAnsi="Times New Roman"/>
          <w:caps w:val="false"/>
          <w:smallCaps w:val="false"/>
          <w:sz w:val="20"/>
        </w:rPr>
        <w:t xml:space="preserve">the </w:t>
      </w:r>
      <w:r>
        <w:rPr>
          <w:rFonts w:ascii="Times New Roman" w:hAnsi="Times New Roman"/>
          <w:i/>
          <w:caps w:val="false"/>
          <w:smallCaps w:val="false"/>
          <w:sz w:val="20"/>
        </w:rPr>
        <w:t>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issue warrants for the purchase of common stock, preferred stock or debt securities, in one or more series. We may issue warrants independently or together with common stock, preferred stock and/or debt securities, and the warrants may be attached to or separate from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plan to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describe in the applicable prospectus supplement the terms of the series of warrants, including:</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60"/>
        <w:gridCol w:w="170"/>
        <w:gridCol w:w="48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offering price and aggregate number of warrants offered;</w:t>
            </w:r>
          </w:p>
        </w:tc>
      </w:tr>
    </w:tbl>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for which the warrants may be purchased;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date on and after which the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common stock purchasable upon the exercise of one warrant and the price at which these shares may be purchased upon such exercise;</w:t>
            </w:r>
          </w:p>
        </w:tc>
      </w:tr>
    </w:tbl>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60"/>
        <w:gridCol w:w="170"/>
        <w:gridCol w:w="9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 of any merger, consolidation, sale or other disposition of our business on the warrant agreement and the warrants;</w:t>
            </w:r>
          </w:p>
        </w:tc>
      </w:tr>
    </w:tbl>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60"/>
        <w:gridCol w:w="170"/>
        <w:gridCol w:w="4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any rights to redeem or call the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for changes to or adjustments in the exercise price or number of securities issuable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periods during which, and places at which, the warrants are exercisable;</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manner of exercise;</w:t>
            </w:r>
          </w:p>
        </w:tc>
      </w:tr>
    </w:tbl>
    <w:p>
      <w:pPr>
        <w:pStyle w:val="TextBody"/>
        <w:bidi w:val="0"/>
        <w:spacing w:before="0" w:after="0"/>
        <w:ind w:left="0" w:right="0" w:hanging="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dates on which the right to exercise the warrants will commence and expire;</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manner in which the warrant agreement and warrants may be modified;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a discussion of certain material U.S. federal income tax considerations of holding or exercising the warrants; and</w:t>
            </w:r>
          </w:p>
        </w:tc>
      </w:tr>
    </w:tbl>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2" w:name="UNITS"/>
      <w:bookmarkEnd w:id="92"/>
      <w:r>
        <w:rPr>
          <w:rFonts w:ascii="Times New Roman;Times;serif" w:hAnsi="Times New Roman;Times;serif"/>
          <w:b/>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issue units comprised of common stock, preferred stock, debt securities and warrants to purchase common stock, preferred stock or debt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70"/>
        <w:gridCol w:w="3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of the governing unit agreement;</w:t>
            </w:r>
          </w:p>
        </w:tc>
      </w:tr>
    </w:tbl>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or prices at which such units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0"/>
        <w:gridCol w:w="170"/>
        <w:gridCol w:w="6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applicable U.S. federal income tax considerations relating to the units;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for the issuance, payment, settlement, transfer or exchange of the units or of the securities comprising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terms of the units and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provisions described in this section, as well as those described under “</w:t>
      </w:r>
      <w:r>
        <w:rPr>
          <w:rFonts w:ascii="Times New Roman" w:hAnsi="Times New Roman"/>
          <w:i/>
          <w:caps w:val="false"/>
          <w:smallCaps w:val="false"/>
          <w:sz w:val="20"/>
        </w:rPr>
        <w:t>Description of Capital Stock</w:t>
      </w:r>
      <w:r>
        <w:rPr>
          <w:rFonts w:ascii="Times New Roman" w:hAnsi="Times New Roman"/>
          <w:caps w:val="false"/>
          <w:smallCaps w:val="false"/>
          <w:sz w:val="20"/>
        </w:rPr>
        <w:t>,” “</w:t>
      </w:r>
      <w:r>
        <w:rPr>
          <w:rFonts w:ascii="Times New Roman" w:hAnsi="Times New Roman"/>
          <w:i/>
          <w:caps w:val="false"/>
          <w:smallCaps w:val="false"/>
          <w:sz w:val="20"/>
        </w:rPr>
        <w:t>Description of Debt Securities</w:t>
      </w:r>
      <w:r>
        <w:rPr>
          <w:rFonts w:ascii="Times New Roman" w:hAnsi="Times New Roman"/>
          <w:caps w:val="false"/>
          <w:smallCaps w:val="false"/>
          <w:sz w:val="20"/>
        </w:rPr>
        <w:t>,” and “</w:t>
      </w:r>
      <w:r>
        <w:rPr>
          <w:rFonts w:ascii="Times New Roman" w:hAnsi="Times New Roman"/>
          <w:i/>
          <w:caps w:val="false"/>
          <w:smallCaps w:val="false"/>
          <w:sz w:val="20"/>
        </w:rPr>
        <w:t>Description of Warrants</w:t>
      </w:r>
      <w:r>
        <w:rPr>
          <w:rFonts w:ascii="Times New Roman" w:hAnsi="Times New Roman"/>
          <w:caps w:val="false"/>
          <w:smallCaps w:val="false"/>
          <w:sz w:val="20"/>
        </w:rPr>
        <w:t>” will apply to the securities included in each unit, to the extent relevant and as may be updated in any prospectus supplements. 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3" w:name="DISTRIBUTION"/>
      <w:bookmarkEnd w:id="93"/>
      <w:r>
        <w:rPr>
          <w:rFonts w:ascii="Times New Roman;Times;serif" w:hAnsi="Times New Roman;Times;serif"/>
          <w:b/>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may sell the securities from time to time pursuant to underwritten public offerings, “at the market offerings,” negotiated transactions, block trades, or a combination of these methods or any other method permitted pursuant to applicable law. We may sell the securities to or through one or more underwriters or dealers (acting as principal or agent), through agents, directly to one or more purchasers through a combination of any of those methods of sale or through any other means. We may distribute securities from time to time in one or more transactions:</w:t>
      </w:r>
    </w:p>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a fixed price or prices, which may be changed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60"/>
        <w:gridCol w:w="170"/>
        <w:gridCol w:w="4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prices related to such prevailing market prices; or</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 prospectus supplement or supplements will describe the terms of the offering of the securities, including, to the extent applicable:</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or names of the underwriters, dealers, or agents, if any;</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purchase price of the securities or other consideration therefor, and the proceeds, if any, we will receive from the sale;</w:t>
            </w:r>
          </w:p>
        </w:tc>
      </w:tr>
    </w:tbl>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over-allotment or other options under which underwriters may purchase additional securities from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agency fees or underwriting discounts or concessions and other items constituting agents’ or underwriters’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public offering price;</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discounts or concessions allowed or reallowed or paid to dealers; and</w:t>
            </w:r>
          </w:p>
        </w:tc>
      </w:tr>
    </w:tbl>
    <w:p>
      <w:pPr>
        <w:pStyle w:val="TextBody"/>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At-the-Market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we reach an agreement with an underwriter on a placement, including the number of shares of stock to be offered in the placement and any minimum price below which sales may not be made, such underwriter would agree to use its commercially reasonable efforts, consistent with its normal trading and sales practices, to try to sell such shares on such terms. Underwriters could make sales in privately negotiated transactions and/or any other method permitted by law, including sales deemed to be an “at-the-market” offering as defined in Rule 415 promulgated under the Securities Act, sales made directly on Nasdaq, the existing trading market for our stock, or sales made to or through a market maker other than on an exchange. The name of any such underwriter or agent involved in the offer and sale of our stock, the amounts underwritten, and the nature of its obligations to take our stock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Underwriters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use underwriters, dealers or agents with whom we have a material relationship. We will describe in the prospectus supplement, naming the underwriter, dealer or agent, the nature of any such relationship.</w:t>
      </w:r>
    </w:p>
    <w:p>
      <w:pPr>
        <w:pStyle w:val="TextBody"/>
        <w:bidi w:val="0"/>
        <w:spacing w:before="0" w:after="0"/>
        <w:ind w:left="0" w:right="0" w:firstLine="400"/>
        <w:jc w:val="both"/>
        <w:rPr/>
      </w:pPr>
      <w:r>
        <w:rPr/>
        <w:t> </w:t>
      </w:r>
    </w:p>
    <w:p>
      <w:pPr>
        <w:pStyle w:val="TextBody"/>
        <w:bidi w:val="0"/>
        <w:spacing w:before="0" w:after="0"/>
        <w:ind w:left="0" w:right="0" w:firstLine="400"/>
        <w:jc w:val="both"/>
        <w:rPr>
          <w:rFonts w:ascii="Times New Roman;Times;serif" w:hAnsi="Times New Roman;Times;serif"/>
          <w:sz w:val="20"/>
        </w:rPr>
      </w:pPr>
      <w:r>
        <w:rPr>
          <w:rFonts w:ascii="Times New Roman;Times;serif" w:hAnsi="Times New Roman;Times;serif"/>
          <w:sz w:val="20"/>
        </w:rPr>
        <w:t>We may sell securities directly or through agents we designate from time to time. We may also designate agents to solicit offers to purchase the securities from time to time and may enter into arrangements for “at-the-market,” equity line or similar transactions.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Any underwriters that are qualified market makers on Nasdaq may engage in passive market making transactions in the common stock on Nasdaq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4" w:name="LEGAL"/>
      <w:bookmarkEnd w:id="94"/>
      <w:r>
        <w:rPr>
          <w:rFonts w:ascii="Times New Roman;Times;serif" w:hAnsi="Times New Roman;Times;serif"/>
          <w:b/>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the validity of the securities offered pursuant to this prospectus will be passed upon by Holland &amp; Knight LLP. Additional legal matters may be passed upon for us or any underwriters, dealers or agents, by counsel that we will name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5" w:name="EXPERTS"/>
      <w:bookmarkEnd w:id="95"/>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financial statements of Clene Inc. as of and for the years ended December 31, 2024 and 2023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6" w:name="MORE_INFO"/>
      <w:bookmarkEnd w:id="96"/>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We have filed with the SEC a Registration Statement on Form S-3, including exhibits, under the Securities Act, with respect to the securities offered pursuant to this prospectus. This prospectus is part of the Registration Statement, but does not contain all of the information included in the Registration Statement or the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 xml:space="preserve">In addition, we file annual, quarterly, and current reports, proxy statements, and other information with the SEC. The SEC maintains an internet site that contains reports, proxy and information statements, and other information regarding issuers that file electronically with the SEC, including our SEC filings, located at </w:t>
      </w:r>
      <w:r>
        <w:rPr>
          <w:rFonts w:ascii="Times New Roman" w:hAnsi="Times New Roman"/>
          <w:i/>
          <w:caps w:val="false"/>
          <w:smallCaps w:val="false"/>
          <w:sz w:val="20"/>
        </w:rPr>
        <w:t>https://www.sec.gov</w:t>
      </w:r>
      <w:r>
        <w:rPr>
          <w:rFonts w:ascii="Times New Roman" w:hAnsi="Times New Roman"/>
          <w:caps w:val="false"/>
          <w:smallCaps w:val="false"/>
          <w:sz w:val="20"/>
        </w:rPr>
        <w:t xml:space="preserve">. We also maintain a website at </w:t>
      </w:r>
      <w:r>
        <w:rPr>
          <w:rFonts w:ascii="Times New Roman" w:hAnsi="Times New Roman"/>
          <w:i/>
          <w:caps w:val="false"/>
          <w:smallCaps w:val="false"/>
          <w:sz w:val="20"/>
        </w:rPr>
        <w:t>https://clene.com</w:t>
      </w:r>
      <w:r>
        <w:rPr>
          <w:rFonts w:ascii="Times New Roman" w:hAnsi="Times New Roman"/>
          <w:caps w:val="false"/>
          <w:smallCaps w:val="false"/>
          <w:sz w:val="20"/>
        </w:rPr>
        <w:t>.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7" w:name="INCORPORATION_BY_REFERENCE"/>
      <w:bookmarkEnd w:id="97"/>
      <w:r>
        <w:rPr>
          <w:rFonts w:ascii="Times New Roman" w:hAnsi="Times New Roman"/>
          <w:b/>
          <w:caps w:val="false"/>
          <w:smallCaps w:val="false"/>
          <w:sz w:val="20"/>
        </w:rPr>
        <w:t>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firstLine="42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60"/>
        <w:gridCol w:w="170"/>
        <w:gridCol w:w="9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05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our Annual Report on </w:t>
            </w:r>
            <w:hyperlink r:id="rId16">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filed with the SEC on March 24, 2025;</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our Current Reports on Form 8-K filed with the SEC on </w:t>
            </w:r>
            <w:hyperlink r:id="rId17">
              <w:r>
                <w:rPr>
                  <w:rStyle w:val="InternetLink"/>
                  <w:rFonts w:ascii="Times New Roman;Times;serif" w:hAnsi="Times New Roman;Times;serif"/>
                  <w:sz w:val="20"/>
                </w:rPr>
                <w:t>January 30,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March 12,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March 27, 2025</w:t>
              </w:r>
            </w:hyperlink>
            <w:r>
              <w:rPr>
                <w:rFonts w:ascii="Times New Roman;Times;serif" w:hAnsi="Times New Roman;Times;serif"/>
                <w:sz w:val="20"/>
              </w:rPr>
              <w:t xml:space="preserve">, and </w:t>
            </w:r>
            <w:hyperlink r:id="rId20">
              <w:r>
                <w:rPr>
                  <w:rStyle w:val="InternetLink"/>
                  <w:rFonts w:ascii="Times New Roman;Times;serif" w:hAnsi="Times New Roman;Times;serif"/>
                  <w:sz w:val="20"/>
                </w:rPr>
                <w:t>April 8, 2025</w:t>
              </w:r>
            </w:hyperlink>
            <w:r>
              <w:rPr>
                <w:rFonts w:ascii="Times New Roman;Times;serif" w:hAnsi="Times New Roman;Times;serif"/>
                <w:sz w:val="20"/>
              </w:rPr>
              <w:t xml:space="preserve"> (with respect to Item 8.01 only);</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information specifically incorporated by reference into our Annual Report on </w:t>
            </w:r>
            <w:hyperlink r:id="rId21">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December 31, 2024 from our Definitive Proxy Statement on </w:t>
            </w:r>
            <w:hyperlink r:id="rId22">
              <w:r>
                <w:rPr>
                  <w:rStyle w:val="InternetLink"/>
                  <w:rFonts w:ascii="Times New Roman;Times;serif" w:hAnsi="Times New Roman;Times;serif"/>
                  <w:sz w:val="20"/>
                </w:rPr>
                <w:t>Schedule 14A</w:t>
              </w:r>
            </w:hyperlink>
            <w:r>
              <w:rPr>
                <w:rFonts w:ascii="Times New Roman;Times;serif" w:hAnsi="Times New Roman;Times;serif"/>
                <w:sz w:val="20"/>
              </w:rPr>
              <w:t>, filed with the SEC on April 8, 2025;</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the description of our common stock contained in the registration statement on </w:t>
            </w:r>
            <w:hyperlink r:id="rId23">
              <w:r>
                <w:rPr>
                  <w:rStyle w:val="InternetLink"/>
                  <w:rFonts w:ascii="Times New Roman;Times;serif" w:hAnsi="Times New Roman;Times;serif"/>
                  <w:sz w:val="20"/>
                </w:rPr>
                <w:t>Form 8-A</w:t>
              </w:r>
            </w:hyperlink>
            <w:r>
              <w:rPr>
                <w:rFonts w:ascii="Times New Roman;Times;serif" w:hAnsi="Times New Roman;Times;serif"/>
                <w:sz w:val="20"/>
              </w:rPr>
              <w:t xml:space="preserve">, dated December 30, 2020, filed pursuant to Section 12(b) of the Exchange Act, as amended by </w:t>
            </w:r>
            <w:hyperlink r:id="rId24">
              <w:r>
                <w:rPr>
                  <w:rStyle w:val="InternetLink"/>
                  <w:rFonts w:ascii="Times New Roman;Times;serif" w:hAnsi="Times New Roman;Times;serif"/>
                  <w:sz w:val="20"/>
                </w:rPr>
                <w:t>Amendment No. 1 to Form 8-A</w:t>
              </w:r>
            </w:hyperlink>
            <w:r>
              <w:rPr>
                <w:rFonts w:ascii="Times New Roman;Times;serif" w:hAnsi="Times New Roman;Times;serif"/>
                <w:sz w:val="20"/>
              </w:rPr>
              <w:t>, dated February 9, 2021.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All reports and other documents we subsequently file pursuant to Section 13(a), 13(c), 14 or 15(d) of the Exchange Act prior to the termination of this offering, including all such reports and other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other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a prospectus is delivered, a copy of any or all of the information that has been incorporated by reference in the prospectus but not delivered with the prospectus. You may request a copy of any documents incorporated by reference in this prospectus, at no cost, by writing or telephoning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Clene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Salt Lake City, Utah 84121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801-676-9695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Exhibits to the filings will not be sent, however, unless those exhibits have been specifically incorporated by reference in this prospectus or any accompanying prospectus supplement.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9016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5"/>
                    <a:stretch>
                      <a:fillRect/>
                    </a:stretch>
                  </pic:blipFill>
                  <pic:spPr bwMode="auto">
                    <a:xfrm>
                      <a:off x="0" y="0"/>
                      <a:ext cx="2590165"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52"/>
        </w:rPr>
      </w:pPr>
      <w:r>
        <w:rPr>
          <w:rFonts w:ascii="Times New Roman" w:hAnsi="Times New Roman"/>
          <w:b/>
          <w:caps w:val="false"/>
          <w:smallCaps w:val="false"/>
          <w:sz w:val="52"/>
        </w:rPr>
        <w:t>Clene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4"/>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Sole Bookrunning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bookmarkStart w:id="98" w:name="led401375F202482617273144658041"/>
      <w:bookmarkEnd w:id="98"/>
      <w:r>
        <w:rPr>
          <w:rFonts w:ascii="Times New Roman" w:hAnsi="Times New Roman"/>
          <w:b/>
          <w:caps w:val="false"/>
          <w:smallCaps w:val="false"/>
          <w:sz w:val="36"/>
        </w:rPr>
        <w:t>Canaccord Genuity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www.sec.gov/ix?doc=/Archives/edgar/data/0001822791/000143774926008502/clnn20251231_10k.htm" TargetMode="External"/><Relationship Id="rId5" Type="http://schemas.openxmlformats.org/officeDocument/2006/relationships/hyperlink" Target="http://www.sec.gov/ix?doc=/Archives/edgar/data/0001822791/000143774926001049/clnn20260109_8k.htm" TargetMode="External"/><Relationship Id="rId6" Type="http://schemas.openxmlformats.org/officeDocument/2006/relationships/hyperlink" Target="http://www.sec.gov/ix?doc=/Archives/edgar/data/0001822791/000143774926001196/clnn20260106_8k.htm" TargetMode="External"/><Relationship Id="rId7" Type="http://schemas.openxmlformats.org/officeDocument/2006/relationships/hyperlink" Target="http://www.sec.gov/ix?doc=/Archives/edgar/data/0001822791/000143774926005156/clnn20260223_8k.htm" TargetMode="External"/><Relationship Id="rId8" Type="http://schemas.openxmlformats.org/officeDocument/2006/relationships/hyperlink" Target="http://www.sec.gov/ix?doc=/Archives/edgar/data/0001822791/000143774926008482/clnn20260316_8k.htm" TargetMode="External"/><Relationship Id="rId9" Type="http://schemas.openxmlformats.org/officeDocument/2006/relationships/hyperlink" Target="http://www.sec.gov/ix?doc=/Archives/edgar/data/0001822791/000143774926014542/clnn20260503_8k.htm" TargetMode="External"/><Relationship Id="rId10" Type="http://schemas.openxmlformats.org/officeDocument/2006/relationships/hyperlink" Target="http://www.sec.gov/ix?doc=/Archives/edgar/data/0001822791/000143774926008502/clnn20251231_10k.htm" TargetMode="External"/><Relationship Id="rId11" Type="http://schemas.openxmlformats.org/officeDocument/2006/relationships/hyperlink" Target="http://www.sec.gov/Archives/edgar/data/1822791/000143774926012018/clnn20250512_def14a.htm" TargetMode="External"/><Relationship Id="rId12" Type="http://schemas.openxmlformats.org/officeDocument/2006/relationships/hyperlink" Target="http://www.sec.gov/Archives/edgar/data/1822791/000121390020045386/ea132360-8a12b_cleneinc.htm" TargetMode="External"/><Relationship Id="rId13" Type="http://schemas.openxmlformats.org/officeDocument/2006/relationships/hyperlink" Target="http://www.sec.gov/Archives/edgar/data/1822791/000121390021007800/ea135056-8a12ba1_cleneinc.htm" TargetMode="External"/><Relationship Id="rId14" Type="http://schemas.openxmlformats.org/officeDocument/2006/relationships/image" Target="media/image1.png"/><Relationship Id="rId15" Type="http://schemas.openxmlformats.org/officeDocument/2006/relationships/image" Target="media/image3.jpeg"/><Relationship Id="rId16" Type="http://schemas.openxmlformats.org/officeDocument/2006/relationships/hyperlink" Target="http://www.sec.gov/ix?doc=/Archives/edgar/data/0001822791/000143774925008956/clnn20241231_10k.htm" TargetMode="External"/><Relationship Id="rId17" Type="http://schemas.openxmlformats.org/officeDocument/2006/relationships/hyperlink" Target="http://www.sec.gov/Archives/edgar/data/1822791/000143774925002265/clnn20241218_8k.htm" TargetMode="External"/><Relationship Id="rId18" Type="http://schemas.openxmlformats.org/officeDocument/2006/relationships/hyperlink" Target="http://www.sec.gov/ix?doc=/Archives/edgar/data/0001822791/000143774925007120/clnn20250311_8k.htm" TargetMode="External"/><Relationship Id="rId19" Type="http://schemas.openxmlformats.org/officeDocument/2006/relationships/hyperlink" Target="http://www.sec.gov/ix?doc=/Archives/edgar/data/0001822791/000143774925009484/clnn20250319_8k.htm" TargetMode="External"/><Relationship Id="rId20" Type="http://schemas.openxmlformats.org/officeDocument/2006/relationships/hyperlink" Target="http://www.sec.gov/ix?doc=/Archives/edgar/data/0001822791/000143774925011309/clnn20250407_8k.htm" TargetMode="External"/><Relationship Id="rId21" Type="http://schemas.openxmlformats.org/officeDocument/2006/relationships/hyperlink" Target="http://www.sec.gov/ix?doc=/Archives/edgar/data/0001822791/000143774925008956/clnn20241231_10k.htm" TargetMode="External"/><Relationship Id="rId22" Type="http://schemas.openxmlformats.org/officeDocument/2006/relationships/hyperlink" Target="http://www.sec.gov/Archives/edgar/data/1822791/000143774925011400/clnn20250404_def14a.htm" TargetMode="External"/><Relationship Id="rId23" Type="http://schemas.openxmlformats.org/officeDocument/2006/relationships/hyperlink" Target="http://www.sec.gov/Archives/edgar/data/1822791/000121390020045386/ea132360-8a12b_cleneinc.htm" TargetMode="External"/><Relationship Id="rId24" Type="http://schemas.openxmlformats.org/officeDocument/2006/relationships/hyperlink" Target="http://www.sec.gov/Archives/edgar/data/1822791/000121390021007800/ea135056-8a12ba1_cleneinc.htm" TargetMode="External"/><Relationship Id="rId25" Type="http://schemas.openxmlformats.org/officeDocument/2006/relationships/image" Target="media/image1.pn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28737</Words>
  <Characters>154030</Characters>
  <CharactersWithSpaces>183088</CharactersWithSpaces>
  <Paragraphs>1963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