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Ugwumba Chidozie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609 SW 8TH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BENTONVILLE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72712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Clene Inc.</w:t>
              </w:r>
            </w:hyperlink>
            <w:r>
              <w:rPr/>
              <w:t xml:space="preserve"> [ </w:t>
            </w:r>
            <w:r>
              <w:rPr>
                <w:rFonts w:ascii="Times;serif" w:hAnsi="Times;serif"/>
                <w:color w:val="0000FF"/>
                <w:sz w:val="24"/>
                <w:shd w:fill="FFFFFF" w:val="clear"/>
              </w:rPr>
              <w:t>CLNN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2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816"/>
        <w:gridCol w:w="906"/>
        <w:gridCol w:w="801"/>
        <w:gridCol w:w="891"/>
        <w:gridCol w:w="921"/>
        <w:gridCol w:w="801"/>
        <w:gridCol w:w="936"/>
        <w:gridCol w:w="831"/>
        <w:gridCol w:w="1026"/>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to Purchase Common Stock (Tranche B, $30.00 strike)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SymBiosis II LLC</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Purchase Warrant ($4.82 strike)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424,358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424,358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SymBiosis II LLC</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deemed to beneficially own the Warrants reported herein indirectly through SymBiosis II, LLC (the "Fund") by virtue of the Reporting Person's role as Managing Partner of the Fund and the resulting voting and investment power over the Fund's holdings. Effective July 17, 2026, management of the Fund's investment portfolio was transferred to a different, unaffiliated third party manager, and the Reporting Person ceased to have voting or investment power over the securities held by the Fund, including the Warrants. Accordingly, the Reporting Person no longer beneficially owns the Warrants reported herein. No consideration was paid or received in connection with this change, and no Warrants were exercised, sold, or transferred.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Currently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was deemed to beneficially own the Warrants indirectly through SymBiosis II LLC by virtue of voting and investment power over the Fund's holdings. Effective July 17, 2026, such power was transferred to a different, unaffiliated third party manager, and the Reporting Person ceased to beneficially own the Warrants reported herein. No consideration was paid or received.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response above noting that the Reporting Person is no longer subject to Section 16 is checked because, following the transactions reported herein, the Reporting Person no longer has any relationship to the Issuer as an owner of more than ten percent of any class of the Issuer's equity securities that would subject the Reporting Person to the reporting requirements of Section 16 of the Securities Exchange Act of 1934 with respect to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Chidozie Ugwumba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5544" TargetMode="External"/><Relationship Id="rId5" Type="http://schemas.openxmlformats.org/officeDocument/2006/relationships/hyperlink" Target="http://www.sec.gov/cgi-bin/browse-edgar?action=getcompany&amp;CIK=0001822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851</Words>
  <Characters>4624</Characters>
  <CharactersWithSpaces>5386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